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19783F">
      <w:pPr>
        <w:snapToGrid w:val="0"/>
        <w:spacing w:after="0" w:line="360" w:lineRule="auto"/>
        <w:rPr>
          <w:rFonts w:ascii="Times New Roman" w:hAnsi="Times New Roman" w:cs="Times New Roman" w:eastAsiaTheme="minorEastAsia"/>
          <w:bCs/>
          <w:color w:val="000000" w:themeColor="text1"/>
          <w14:textFill>
            <w14:solidFill>
              <w14:schemeClr w14:val="tx1"/>
            </w14:solidFill>
          </w14:textFill>
        </w:rPr>
      </w:pPr>
      <w:r>
        <w:rPr>
          <w:rFonts w:hint="eastAsia" w:ascii="Times New Roman" w:hAnsi="Times New Roman" w:cs="Times New Roman" w:eastAsiaTheme="minorEastAsia"/>
          <w:bCs/>
          <w:color w:val="000000" w:themeColor="text1"/>
          <w14:textFill>
            <w14:solidFill>
              <w14:schemeClr w14:val="tx1"/>
            </w14:solidFill>
          </w14:textFill>
        </w:rPr>
        <w:t>ICS</w:t>
      </w:r>
      <w:r>
        <w:rPr>
          <w:rFonts w:ascii="Times New Roman" w:hAnsi="Times New Roman" w:cs="Times New Roman" w:eastAsiaTheme="minorEastAsia"/>
          <w:bCs/>
          <w:color w:val="000000" w:themeColor="text1"/>
          <w14:textFill>
            <w14:solidFill>
              <w14:schemeClr w14:val="tx1"/>
            </w14:solidFill>
          </w14:textFill>
        </w:rPr>
        <w:t xml:space="preserve"> </w:t>
      </w:r>
      <w:r>
        <w:rPr>
          <w:rFonts w:hint="eastAsia" w:ascii="Times New Roman" w:hAnsi="Times New Roman" w:cs="Times New Roman" w:eastAsiaTheme="minorEastAsia"/>
          <w:bCs/>
          <w:color w:val="000000" w:themeColor="text1"/>
          <w14:textFill>
            <w14:solidFill>
              <w14:schemeClr w14:val="tx1"/>
            </w14:solidFill>
          </w14:textFill>
        </w:rPr>
        <w:t>XXX</w:t>
      </w:r>
    </w:p>
    <w:p w14:paraId="68161C44">
      <w:pPr>
        <w:snapToGrid w:val="0"/>
        <w:spacing w:after="0" w:line="360" w:lineRule="auto"/>
        <w:rPr>
          <w:rFonts w:ascii="Times New Roman" w:hAnsi="Times New Roman" w:cs="Times New Roman" w:eastAsiaTheme="minorEastAsia"/>
          <w:bCs/>
          <w:color w:val="000000" w:themeColor="text1"/>
          <w14:textFill>
            <w14:solidFill>
              <w14:schemeClr w14:val="tx1"/>
            </w14:solidFill>
          </w14:textFill>
        </w:rPr>
      </w:pPr>
      <w:r>
        <w:rPr>
          <w:rFonts w:hint="eastAsia" w:ascii="Times New Roman" w:hAnsi="Times New Roman" w:cs="Times New Roman" w:eastAsiaTheme="minorEastAsia"/>
          <w:bCs/>
          <w:color w:val="000000" w:themeColor="text1"/>
          <w14:textFill>
            <w14:solidFill>
              <w14:schemeClr w14:val="tx1"/>
            </w14:solidFill>
          </w14:textFill>
        </w:rPr>
        <w:t>CCS</w:t>
      </w:r>
      <w:r>
        <w:rPr>
          <w:rFonts w:ascii="Times New Roman" w:hAnsi="Times New Roman" w:cs="Times New Roman" w:eastAsiaTheme="minorEastAsia"/>
          <w:bCs/>
          <w:color w:val="000000" w:themeColor="text1"/>
          <w14:textFill>
            <w14:solidFill>
              <w14:schemeClr w14:val="tx1"/>
            </w14:solidFill>
          </w14:textFill>
        </w:rPr>
        <w:t xml:space="preserve"> </w:t>
      </w:r>
      <w:r>
        <w:rPr>
          <w:rFonts w:hint="eastAsia" w:ascii="Times New Roman" w:hAnsi="Times New Roman" w:cs="Times New Roman" w:eastAsiaTheme="minorEastAsia"/>
          <w:bCs/>
          <w:color w:val="000000" w:themeColor="text1"/>
          <w14:textFill>
            <w14:solidFill>
              <w14:schemeClr w14:val="tx1"/>
            </w14:solidFill>
          </w14:textFill>
        </w:rPr>
        <w:t>XXX</w:t>
      </w:r>
    </w:p>
    <w:p w14:paraId="5CBDFCE8">
      <w:pPr>
        <w:rPr>
          <w:rFonts w:ascii="Times New Roman" w:hAnsi="Times New Roman" w:cs="Times New Roman"/>
          <w:color w:val="000000" w:themeColor="text1"/>
          <w:szCs w:val="22"/>
          <w14:textFill>
            <w14:solidFill>
              <w14:schemeClr w14:val="tx1"/>
            </w14:solidFill>
          </w14:textFill>
        </w:rPr>
      </w:pPr>
    </w:p>
    <w:p w14:paraId="2C6A5C53">
      <w:pPr>
        <w:rPr>
          <w:rFonts w:ascii="Times New Roman" w:hAnsi="Times New Roman" w:cs="Times New Roman"/>
          <w:color w:val="000000" w:themeColor="text1"/>
          <w:szCs w:val="22"/>
          <w14:textFill>
            <w14:solidFill>
              <w14:schemeClr w14:val="tx1"/>
            </w14:solidFill>
          </w14:textFill>
        </w:rPr>
      </w:pPr>
    </w:p>
    <w:p w14:paraId="4CFEF722">
      <w:pPr>
        <w:jc w:val="center"/>
        <w:rPr>
          <w:rFonts w:ascii="Times New Roman" w:hAnsi="Times New Roman" w:cs="Times New Roman"/>
          <w:color w:val="000000" w:themeColor="text1"/>
          <w:szCs w:val="22"/>
          <w14:textFill>
            <w14:solidFill>
              <w14:schemeClr w14:val="tx1"/>
            </w14:solidFill>
          </w14:textFill>
        </w:rPr>
      </w:pPr>
    </w:p>
    <w:p w14:paraId="208E3FEB">
      <w:pPr>
        <w:jc w:val="center"/>
        <w:rPr>
          <w:rFonts w:ascii="Times New Roman" w:hAnsi="Times New Roman" w:cs="Times New Roman"/>
          <w:color w:val="000000" w:themeColor="text1"/>
          <w:szCs w:val="22"/>
          <w14:textFill>
            <w14:solidFill>
              <w14:schemeClr w14:val="tx1"/>
            </w14:solidFill>
          </w14:textFill>
        </w:rPr>
      </w:pPr>
    </w:p>
    <w:p w14:paraId="7387F8F7">
      <w:pPr>
        <w:jc w:val="center"/>
        <w:rPr>
          <w:rFonts w:ascii="Times New Roman" w:hAnsi="Times New Roman" w:eastAsia="黑体" w:cs="Times New Roman"/>
          <w:color w:val="000000" w:themeColor="text1"/>
          <w:sz w:val="84"/>
          <w:szCs w:val="84"/>
          <w14:textFill>
            <w14:solidFill>
              <w14:schemeClr w14:val="tx1"/>
            </w14:solidFill>
          </w14:textFill>
        </w:rPr>
      </w:pPr>
      <w:r>
        <w:rPr>
          <w:rFonts w:ascii="Times New Roman" w:hAnsi="Times New Roman" w:eastAsia="黑体" w:cs="Times New Roman"/>
          <w:color w:val="000000" w:themeColor="text1"/>
          <w:sz w:val="84"/>
          <w:szCs w:val="84"/>
          <w14:textFill>
            <w14:solidFill>
              <w14:schemeClr w14:val="tx1"/>
            </w14:solidFill>
          </w14:textFill>
        </w:rPr>
        <w:t>团    体    标   准</w:t>
      </w:r>
    </w:p>
    <w:p w14:paraId="56B6A1E5">
      <w:pPr>
        <w:ind w:right="141" w:rightChars="67"/>
        <w:jc w:val="right"/>
        <w:rPr>
          <w:rFonts w:ascii="Times New Roman" w:hAnsi="Times New Roman" w:cs="Times New Roman"/>
          <w:b/>
          <w:color w:val="000000" w:themeColor="text1"/>
          <w:sz w:val="48"/>
          <w:szCs w:val="48"/>
          <w14:textFill>
            <w14:solidFill>
              <w14:schemeClr w14:val="tx1"/>
            </w14:solidFill>
          </w14:textFill>
        </w:rPr>
      </w:pPr>
      <w:r>
        <w:rPr>
          <w:rFonts w:hint="eastAsia" w:eastAsia="黑体" w:cs="Times New Roman"/>
          <w:color w:val="000000" w:themeColor="text1"/>
          <w:sz w:val="32"/>
          <w:szCs w:val="32"/>
          <w:lang w:val="en-US" w:eastAsia="zh-CN"/>
          <w14:textFill>
            <w14:solidFill>
              <w14:schemeClr w14:val="tx1"/>
            </w14:solidFill>
          </w14:textFill>
        </w:rPr>
        <w:t xml:space="preserve">   </w:t>
      </w:r>
      <w:r>
        <w:rPr>
          <w:rFonts w:ascii="Times New Roman" w:hAnsi="Times New Roman" w:eastAsia="黑体" w:cs="Times New Roman"/>
          <w:color w:val="000000" w:themeColor="text1"/>
          <w:sz w:val="32"/>
          <w:szCs w:val="32"/>
          <w14:textFill>
            <w14:solidFill>
              <w14:schemeClr w14:val="tx1"/>
            </w14:solidFill>
          </w14:textFill>
        </w:rPr>
        <w:t xml:space="preserve">    </w:t>
      </w:r>
      <w:r>
        <w:rPr>
          <w:rFonts w:ascii="微软雅黑" w:hAnsi="微软雅黑" w:eastAsia="微软雅黑" w:cs="微软雅黑"/>
          <w:spacing w:val="33"/>
          <w:position w:val="2"/>
          <w:sz w:val="32"/>
          <w:szCs w:val="32"/>
        </w:rPr>
        <w:t>T</w:t>
      </w:r>
      <w:r>
        <w:rPr>
          <w:rFonts w:ascii="微软雅黑" w:hAnsi="微软雅黑" w:eastAsia="微软雅黑" w:cs="微软雅黑"/>
          <w:spacing w:val="-7"/>
          <w:position w:val="2"/>
          <w:sz w:val="32"/>
          <w:szCs w:val="32"/>
        </w:rPr>
        <w:t xml:space="preserve"> </w:t>
      </w:r>
      <w:r>
        <w:rPr>
          <w:rFonts w:ascii="微软雅黑" w:hAnsi="微软雅黑" w:eastAsia="微软雅黑" w:cs="微软雅黑"/>
          <w:spacing w:val="33"/>
          <w:position w:val="2"/>
          <w:sz w:val="32"/>
          <w:szCs w:val="32"/>
        </w:rPr>
        <w:t xml:space="preserve">/ </w:t>
      </w:r>
      <w:r>
        <w:rPr>
          <w:rFonts w:hint="eastAsia" w:ascii="微软雅黑" w:hAnsi="微软雅黑" w:eastAsia="微软雅黑" w:cs="微软雅黑"/>
          <w:position w:val="2"/>
          <w:sz w:val="32"/>
          <w:szCs w:val="32"/>
          <w:lang w:val="en-US" w:eastAsia="zh-CN"/>
        </w:rPr>
        <w:t>ZGXCFZXH</w:t>
      </w:r>
      <w:r>
        <w:rPr>
          <w:rFonts w:ascii="微软雅黑" w:hAnsi="微软雅黑" w:eastAsia="微软雅黑" w:cs="微软雅黑"/>
          <w:spacing w:val="33"/>
          <w:position w:val="2"/>
          <w:sz w:val="32"/>
          <w:szCs w:val="32"/>
        </w:rPr>
        <w:t xml:space="preserve"> </w:t>
      </w:r>
      <w:r>
        <w:rPr>
          <w:rFonts w:hint="eastAsia" w:ascii="微软雅黑" w:hAnsi="微软雅黑" w:eastAsia="微软雅黑" w:cs="微软雅黑"/>
          <w:spacing w:val="33"/>
          <w:position w:val="2"/>
          <w:sz w:val="36"/>
          <w:szCs w:val="36"/>
        </w:rPr>
        <w:t>XXX</w:t>
      </w:r>
      <w:r>
        <w:rPr>
          <w:rFonts w:ascii="微软雅黑" w:hAnsi="微软雅黑" w:eastAsia="微软雅黑" w:cs="微软雅黑"/>
          <w:spacing w:val="33"/>
          <w:position w:val="2"/>
          <w:sz w:val="36"/>
          <w:szCs w:val="36"/>
        </w:rPr>
        <w:t>-</w:t>
      </w:r>
      <w:r>
        <w:rPr>
          <w:rFonts w:ascii="微软雅黑" w:hAnsi="微软雅黑" w:eastAsia="微软雅黑" w:cs="微软雅黑"/>
          <w:spacing w:val="-17"/>
          <w:position w:val="2"/>
          <w:sz w:val="36"/>
          <w:szCs w:val="36"/>
        </w:rPr>
        <w:t xml:space="preserve"> </w:t>
      </w:r>
      <w:r>
        <w:rPr>
          <w:rFonts w:hint="eastAsia" w:ascii="微软雅黑" w:hAnsi="微软雅黑" w:eastAsia="微软雅黑" w:cs="微软雅黑"/>
          <w:spacing w:val="33"/>
          <w:position w:val="2"/>
          <w:sz w:val="36"/>
          <w:szCs w:val="36"/>
        </w:rPr>
        <w:t>XXXX</w:t>
      </w:r>
    </w:p>
    <w:p w14:paraId="3D998F12">
      <w:pPr>
        <w:rPr>
          <w:rFonts w:ascii="Times New Roman" w:hAnsi="Times New Roman" w:cs="Times New Roman"/>
          <w:b/>
          <w:color w:val="000000" w:themeColor="text1"/>
          <w:sz w:val="48"/>
          <w:szCs w:val="48"/>
          <w14:textFill>
            <w14:solidFill>
              <w14:schemeClr w14:val="tx1"/>
            </w14:solidFill>
          </w14:textFill>
        </w:rPr>
      </w:pPr>
      <w:r>
        <w:rPr>
          <w:rFonts w:ascii="Times New Roman" w:hAnsi="Times New Roman" w:cs="Times New Roman"/>
          <w:color w:val="000000" w:themeColor="text1"/>
          <w:szCs w:val="24"/>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-55880</wp:posOffset>
                </wp:positionH>
                <wp:positionV relativeFrom="paragraph">
                  <wp:posOffset>24765</wp:posOffset>
                </wp:positionV>
                <wp:extent cx="6120130" cy="0"/>
                <wp:effectExtent l="0" t="9525" r="13970" b="9525"/>
                <wp:wrapNone/>
                <wp:docPr id="9" name="AutoShape 4"/>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19050">
                          <a:solidFill>
                            <a:srgbClr val="000000"/>
                          </a:solidFill>
                          <a:round/>
                        </a:ln>
                      </wps:spPr>
                      <wps:bodyPr/>
                    </wps:wsp>
                  </a:graphicData>
                </a:graphic>
              </wp:anchor>
            </w:drawing>
          </mc:Choice>
          <mc:Fallback>
            <w:pict>
              <v:shape id="AutoShape 4" o:spid="_x0000_s1026" o:spt="32" type="#_x0000_t32" style="position:absolute;left:0pt;margin-left:-4.4pt;margin-top:1.95pt;height:0pt;width:481.9pt;z-index:251659264;mso-width-relative:page;mso-height-relative:page;" filled="f" stroked="t" coordsize="21600,21600" o:gfxdata="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yDLqj9IAAAAGAQAADwAAAAAAAAABACAAAAAiAAAA&#10;ZHJzL2Rvd25yZXYueG1sUEsBAhQAFAAAAAgAh07iQMbNkvPUAQAAswMAAA4AAAAAAAAAAQAgAAAA&#10;IQEAAGRycy9lMm9Eb2MueG1sUEsFBgAAAAAGAAYAWQEAAGcFAAAAAA==&#10;">
                <v:fill on="f" focussize="0,0"/>
                <v:stroke weight="1.5pt" color="#000000" joinstyle="round"/>
                <v:imagedata o:title=""/>
                <o:lock v:ext="edit" aspectratio="f"/>
              </v:shape>
            </w:pict>
          </mc:Fallback>
        </mc:AlternateContent>
      </w:r>
    </w:p>
    <w:p w14:paraId="0D6E009B">
      <w:pPr>
        <w:rPr>
          <w:rFonts w:ascii="Times New Roman" w:hAnsi="Times New Roman" w:cs="Times New Roman"/>
          <w:b/>
          <w:color w:val="000000" w:themeColor="text1"/>
          <w14:textFill>
            <w14:solidFill>
              <w14:schemeClr w14:val="tx1"/>
            </w14:solidFill>
          </w14:textFill>
        </w:rPr>
      </w:pPr>
    </w:p>
    <w:p w14:paraId="443BEDD1">
      <w:pPr>
        <w:snapToGrid w:val="0"/>
        <w:spacing w:after="0" w:line="600" w:lineRule="auto"/>
        <w:jc w:val="center"/>
        <w:rPr>
          <w:rFonts w:ascii="Times New Roman" w:hAnsi="Times New Roman" w:eastAsia="黑体" w:cs="Times New Roman"/>
          <w:bCs/>
          <w:color w:val="000000" w:themeColor="text1"/>
          <w:sz w:val="48"/>
          <w:szCs w:val="48"/>
          <w14:textFill>
            <w14:solidFill>
              <w14:schemeClr w14:val="tx1"/>
            </w14:solidFill>
          </w14:textFill>
        </w:rPr>
      </w:pPr>
      <w:bookmarkStart w:id="0" w:name="OLE_LINK3"/>
      <w:bookmarkStart w:id="1" w:name="OLE_LINK4"/>
      <w:bookmarkStart w:id="2" w:name="OLE_LINK2"/>
      <w:bookmarkStart w:id="3" w:name="OLE_LINK38"/>
      <w:bookmarkStart w:id="4" w:name="OLE_LINK1"/>
      <w:bookmarkStart w:id="5" w:name="OLE_LINK73"/>
      <w:bookmarkStart w:id="6" w:name="OLE_LINK37"/>
      <w:bookmarkStart w:id="7" w:name="OLE_LINK39"/>
      <w:r>
        <w:rPr>
          <w:rFonts w:hint="eastAsia" w:eastAsia="黑体" w:cs="Times New Roman"/>
          <w:bCs/>
          <w:color w:val="000000" w:themeColor="text1"/>
          <w:sz w:val="48"/>
          <w:szCs w:val="48"/>
          <w:lang w:val="en-US" w:eastAsia="zh-CN"/>
          <w14:textFill>
            <w14:solidFill>
              <w14:schemeClr w14:val="tx1"/>
            </w14:solidFill>
          </w14:textFill>
        </w:rPr>
        <w:t>品牌乡村评价规范</w:t>
      </w:r>
    </w:p>
    <w:bookmarkEnd w:id="0"/>
    <w:bookmarkEnd w:id="1"/>
    <w:bookmarkEnd w:id="2"/>
    <w:bookmarkEnd w:id="3"/>
    <w:bookmarkEnd w:id="4"/>
    <w:bookmarkEnd w:id="5"/>
    <w:bookmarkEnd w:id="6"/>
    <w:bookmarkEnd w:id="7"/>
    <w:p w14:paraId="5A851C2A">
      <w:pPr>
        <w:pStyle w:val="11"/>
        <w:textAlignment w:val="bottom"/>
        <w:rPr>
          <w:rFonts w:eastAsia="黑体"/>
          <w:szCs w:val="28"/>
        </w:rPr>
      </w:pPr>
      <w:r>
        <w:rPr>
          <w:rFonts w:eastAsia="黑体"/>
          <w:sz w:val="36"/>
          <w:szCs w:val="36"/>
        </w:rPr>
        <w:fldChar w:fldCharType="begin">
          <w:ffData>
            <w:name w:val="ESTD_NAME"/>
            <w:enabled/>
            <w:calcOnExit w:val="0"/>
            <w:textInput>
              <w:default w:val="Evaluation criteria of rural brand construction"/>
            </w:textInput>
          </w:ffData>
        </w:fldChar>
      </w:r>
      <w:bookmarkStart w:id="8" w:name="ESTD_NAME"/>
      <w:r>
        <w:rPr>
          <w:rFonts w:eastAsia="黑体"/>
          <w:sz w:val="36"/>
          <w:szCs w:val="36"/>
        </w:rPr>
        <w:instrText xml:space="preserve"> FORMTEXT </w:instrText>
      </w:r>
      <w:r>
        <w:rPr>
          <w:rFonts w:eastAsia="黑体"/>
          <w:sz w:val="36"/>
          <w:szCs w:val="36"/>
        </w:rPr>
        <w:fldChar w:fldCharType="separate"/>
      </w:r>
      <w:r>
        <w:rPr>
          <w:rFonts w:eastAsia="黑体"/>
          <w:sz w:val="36"/>
          <w:szCs w:val="36"/>
        </w:rPr>
        <w:t xml:space="preserve">Evaluation criteria of rural brand </w:t>
      </w:r>
      <w:r>
        <w:rPr>
          <w:rFonts w:hint="eastAsia" w:eastAsia="黑体"/>
          <w:sz w:val="36"/>
          <w:szCs w:val="36"/>
        </w:rPr>
        <w:t>development</w:t>
      </w:r>
      <w:r>
        <w:rPr>
          <w:rFonts w:eastAsia="黑体"/>
          <w:sz w:val="36"/>
          <w:szCs w:val="36"/>
        </w:rPr>
        <w:fldChar w:fldCharType="end"/>
      </w:r>
      <w:bookmarkEnd w:id="8"/>
    </w:p>
    <w:p w14:paraId="3B30F0E5">
      <w:pPr>
        <w:spacing w:line="480" w:lineRule="auto"/>
        <w:jc w:val="center"/>
        <w:rPr>
          <w:rFonts w:hint="eastAsia" w:ascii="黑体" w:hAnsi="黑体" w:eastAsia="黑体" w:cs="Times New Roman"/>
          <w:spacing w:val="-2"/>
          <w:sz w:val="36"/>
          <w:szCs w:val="36"/>
        </w:rPr>
      </w:pPr>
    </w:p>
    <w:p w14:paraId="5311F111">
      <w:pPr>
        <w:spacing w:line="480" w:lineRule="auto"/>
        <w:jc w:val="center"/>
        <w:rPr>
          <w:rFonts w:hint="eastAsia" w:ascii="黑体" w:hAnsi="黑体" w:eastAsia="黑体" w:cs="Times New Roman"/>
          <w:color w:val="000000" w:themeColor="text1"/>
          <w:sz w:val="36"/>
          <w:szCs w:val="36"/>
          <w14:textFill>
            <w14:solidFill>
              <w14:schemeClr w14:val="tx1"/>
            </w14:solidFill>
          </w14:textFill>
        </w:rPr>
      </w:pPr>
      <w:bookmarkStart w:id="76" w:name="_GoBack"/>
      <w:r>
        <w:rPr>
          <w:rFonts w:hint="eastAsia" w:ascii="黑体" w:hAnsi="黑体" w:eastAsia="黑体" w:cs="Times New Roman"/>
          <w:spacing w:val="-2"/>
          <w:sz w:val="30"/>
          <w:szCs w:val="30"/>
        </w:rPr>
        <w:t>（</w:t>
      </w:r>
      <w:r>
        <w:rPr>
          <w:rFonts w:hint="eastAsia" w:ascii="黑体" w:hAnsi="黑体" w:eastAsia="黑体" w:cs="Times New Roman"/>
          <w:spacing w:val="-2"/>
          <w:sz w:val="30"/>
          <w:szCs w:val="30"/>
          <w:lang w:val="en-US" w:eastAsia="zh-CN"/>
        </w:rPr>
        <w:t>征求意见稿</w:t>
      </w:r>
      <w:r>
        <w:rPr>
          <w:rFonts w:hint="eastAsia" w:ascii="黑体" w:hAnsi="黑体" w:eastAsia="黑体" w:cs="Times New Roman"/>
          <w:spacing w:val="-2"/>
          <w:sz w:val="30"/>
          <w:szCs w:val="30"/>
        </w:rPr>
        <w:t>）</w:t>
      </w:r>
      <w:bookmarkEnd w:id="76"/>
      <w:r>
        <w:rPr>
          <w:rFonts w:ascii="黑体" w:hAnsi="黑体" w:eastAsia="黑体" w:cs="Times New Roman"/>
          <w:spacing w:val="-2"/>
          <w:sz w:val="28"/>
          <w:szCs w:val="28"/>
        </w:rPr>
        <mc:AlternateContent>
          <mc:Choice Requires="wps">
            <w:drawing>
              <wp:anchor distT="0" distB="0" distL="114300" distR="114300" simplePos="0" relativeHeight="251666432" behindDoc="1" locked="1" layoutInCell="1" allowOverlap="1">
                <wp:simplePos x="0" y="0"/>
                <wp:positionH relativeFrom="column">
                  <wp:posOffset>2200910</wp:posOffset>
                </wp:positionH>
                <wp:positionV relativeFrom="paragraph">
                  <wp:posOffset>573405</wp:posOffset>
                </wp:positionV>
                <wp:extent cx="1905000" cy="254000"/>
                <wp:effectExtent l="0" t="0" r="0" b="12700"/>
                <wp:wrapNone/>
                <wp:docPr id="1019075613" name="矩形 17"/>
                <wp:cNvGraphicFramePr/>
                <a:graphic xmlns:a="http://schemas.openxmlformats.org/drawingml/2006/main">
                  <a:graphicData uri="http://schemas.microsoft.com/office/word/2010/wordprocessingShape">
                    <wps:wsp>
                      <wps:cNvSpPr/>
                      <wps:spPr bwMode="auto">
                        <a:xfrm>
                          <a:off x="0" y="0"/>
                          <a:ext cx="1905000" cy="2540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矩形 17" o:spid="_x0000_s1026" o:spt="1" style="position:absolute;left:0pt;margin-left:173.3pt;margin-top:45.15pt;height:20pt;width:150pt;z-index:-251650048;mso-width-relative:page;mso-height-relative:page;" fillcolor="#FFFFFF" filled="t" stroked="f" coordsize="21600,21600" o:gfxdata="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&#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BYmuktUAAAAKAQAADwAAAAAAAAABACAAAAAiAAAAZHJz&#10;L2Rvd25yZXYueG1sUEsBAhQAFAAAAAgAh07iQOk79SoHAgAAAAQAAA4AAAAAAAAAAQAgAAAAJAEA&#10;AGRycy9lMm9Eb2MueG1sUEsFBgAAAAAGAAYAWQEAAJ0FAAAAAA==&#10;">
                <v:fill on="t" focussize="0,0"/>
                <v:stroke on="f"/>
                <v:imagedata o:title=""/>
                <o:lock v:ext="edit" aspectratio="f"/>
                <w10:anchorlock/>
              </v:rect>
            </w:pict>
          </mc:Fallback>
        </mc:AlternateContent>
      </w:r>
      <w:r>
        <w:rPr>
          <w:rFonts w:ascii="黑体" w:hAnsi="黑体" w:eastAsia="黑体" w:cs="Times New Roman"/>
          <w:spacing w:val="-2"/>
          <w:sz w:val="28"/>
          <w:szCs w:val="28"/>
        </w:rPr>
        <mc:AlternateContent>
          <mc:Choice Requires="wps">
            <w:drawing>
              <wp:anchor distT="0" distB="0" distL="114300" distR="114300" simplePos="0" relativeHeight="251665408" behindDoc="1" locked="0" layoutInCell="1" allowOverlap="1">
                <wp:simplePos x="0" y="0"/>
                <wp:positionH relativeFrom="column">
                  <wp:posOffset>2454910</wp:posOffset>
                </wp:positionH>
                <wp:positionV relativeFrom="paragraph">
                  <wp:posOffset>255905</wp:posOffset>
                </wp:positionV>
                <wp:extent cx="1270000" cy="304800"/>
                <wp:effectExtent l="0" t="0" r="6350" b="0"/>
                <wp:wrapNone/>
                <wp:docPr id="1110900860" name="矩形 15"/>
                <wp:cNvGraphicFramePr/>
                <a:graphic xmlns:a="http://schemas.openxmlformats.org/drawingml/2006/main">
                  <a:graphicData uri="http://schemas.microsoft.com/office/word/2010/wordprocessingShape">
                    <wps:wsp>
                      <wps:cNvSpPr/>
                      <wps:spPr bwMode="auto">
                        <a:xfrm>
                          <a:off x="0" y="0"/>
                          <a:ext cx="1270000" cy="3048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矩形 15" o:spid="_x0000_s1026" o:spt="1" style="position:absolute;left:0pt;margin-left:193.3pt;margin-top:20.15pt;height:24pt;width:100pt;z-index:-251651072;mso-width-relative:page;mso-height-relative:page;" fillcolor="#FFFFFF" filled="t" stroked="f" coordsize="21600,21600" o:gfxdata="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&#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APhi+XWAAAACQEAAA8AAAAAAAAAAQAgAAAAIgAAAGRy&#10;cy9kb3ducmV2LnhtbFBLAQIUABQAAAAIAIdO4kDkpRrRBwIAAAAEAAAOAAAAAAAAAAEAIAAAACUB&#10;AABkcnMvZTJvRG9jLnhtbFBLBQYAAAAABgAGAFkBAACeBQAAAAA=&#10;">
                <v:fill on="t" focussize="0,0"/>
                <v:stroke on="f"/>
                <v:imagedata o:title=""/>
                <o:lock v:ext="edit" aspectratio="f"/>
              </v:rect>
            </w:pict>
          </mc:Fallback>
        </mc:AlternateContent>
      </w:r>
    </w:p>
    <w:p w14:paraId="147534AB">
      <w:pPr>
        <w:spacing w:line="480" w:lineRule="auto"/>
        <w:jc w:val="center"/>
        <w:rPr>
          <w:rFonts w:hint="eastAsia" w:ascii="Times New Roman" w:hAnsi="Times New Roman" w:eastAsia="黑体" w:cs="Times New Roman"/>
          <w:color w:val="000000" w:themeColor="text1"/>
          <w:sz w:val="36"/>
          <w:szCs w:val="36"/>
          <w14:textFill>
            <w14:solidFill>
              <w14:schemeClr w14:val="tx1"/>
            </w14:solidFill>
          </w14:textFill>
        </w:rPr>
      </w:pPr>
    </w:p>
    <w:p w14:paraId="4589FA7A">
      <w:pPr>
        <w:spacing w:line="480" w:lineRule="auto"/>
        <w:jc w:val="center"/>
        <w:rPr>
          <w:rFonts w:hint="eastAsia" w:ascii="Times New Roman" w:hAnsi="Times New Roman" w:eastAsia="黑体" w:cs="Times New Roman"/>
          <w:color w:val="000000" w:themeColor="text1"/>
          <w:sz w:val="36"/>
          <w:szCs w:val="36"/>
          <w14:textFill>
            <w14:solidFill>
              <w14:schemeClr w14:val="tx1"/>
            </w14:solidFill>
          </w14:textFill>
        </w:rPr>
      </w:pPr>
    </w:p>
    <w:p w14:paraId="150DF7D8">
      <w:pPr>
        <w:spacing w:line="480" w:lineRule="auto"/>
        <w:jc w:val="center"/>
        <w:rPr>
          <w:rFonts w:hint="eastAsia" w:ascii="Times New Roman" w:hAnsi="Times New Roman" w:eastAsia="黑体" w:cs="Times New Roman"/>
          <w:color w:val="000000" w:themeColor="text1"/>
          <w:sz w:val="36"/>
          <w:szCs w:val="36"/>
          <w14:textFill>
            <w14:solidFill>
              <w14:schemeClr w14:val="tx1"/>
            </w14:solidFill>
          </w14:textFill>
        </w:rPr>
      </w:pPr>
    </w:p>
    <w:p w14:paraId="5409872C">
      <w:pPr>
        <w:spacing w:line="480" w:lineRule="auto"/>
        <w:jc w:val="center"/>
        <w:rPr>
          <w:rFonts w:hint="eastAsia" w:ascii="Times New Roman" w:hAnsi="Times New Roman" w:eastAsia="黑体" w:cs="Times New Roman"/>
          <w:color w:val="000000" w:themeColor="text1"/>
          <w:sz w:val="36"/>
          <w:szCs w:val="36"/>
          <w14:textFill>
            <w14:solidFill>
              <w14:schemeClr w14:val="tx1"/>
            </w14:solidFill>
          </w14:textFill>
        </w:rPr>
      </w:pPr>
    </w:p>
    <w:p w14:paraId="0444FB09">
      <w:pPr>
        <w:spacing w:line="480" w:lineRule="auto"/>
        <w:jc w:val="center"/>
        <w:rPr>
          <w:rFonts w:hint="eastAsia" w:ascii="Times New Roman" w:hAnsi="Times New Roman" w:eastAsia="黑体" w:cs="Times New Roman"/>
          <w:color w:val="000000" w:themeColor="text1"/>
          <w:sz w:val="36"/>
          <w:szCs w:val="36"/>
          <w14:textFill>
            <w14:solidFill>
              <w14:schemeClr w14:val="tx1"/>
            </w14:solidFill>
          </w14:textFill>
        </w:rPr>
      </w:pPr>
    </w:p>
    <w:p w14:paraId="3DC60F62">
      <w:pPr>
        <w:spacing w:line="480" w:lineRule="auto"/>
        <w:jc w:val="center"/>
        <w:rPr>
          <w:rFonts w:hint="eastAsia" w:ascii="Times New Roman" w:hAnsi="Times New Roman" w:eastAsia="黑体" w:cs="Times New Roman"/>
          <w:color w:val="000000" w:themeColor="text1"/>
          <w:sz w:val="36"/>
          <w:szCs w:val="36"/>
          <w14:textFill>
            <w14:solidFill>
              <w14:schemeClr w14:val="tx1"/>
            </w14:solidFill>
          </w14:textFill>
        </w:rPr>
      </w:pPr>
    </w:p>
    <w:p w14:paraId="02F45DE4">
      <w:pPr>
        <w:tabs>
          <w:tab w:val="left" w:pos="8400"/>
        </w:tabs>
        <w:spacing w:line="600" w:lineRule="auto"/>
        <w:rPr>
          <w:rFonts w:hint="default" w:ascii="Times New Roman" w:hAnsi="Times New Roman" w:eastAsia="黑体" w:cs="Times New Roman"/>
          <w:color w:val="000000" w:themeColor="text1"/>
          <w:sz w:val="30"/>
          <w:szCs w:val="30"/>
          <w:u w:val="single"/>
          <w:lang w:val="en-US" w:eastAsia="zh-CN"/>
          <w14:textFill>
            <w14:solidFill>
              <w14:schemeClr w14:val="tx1"/>
            </w14:solidFill>
          </w14:textFill>
        </w:rPr>
      </w:pPr>
      <w:r>
        <w:rPr>
          <w:rFonts w:hint="eastAsia" w:ascii="Times New Roman" w:hAnsi="Times New Roman" w:cs="Times New Roman"/>
          <w:color w:val="000000" w:themeColor="text1"/>
          <w:sz w:val="30"/>
          <w:szCs w:val="30"/>
          <w:u w:val="single"/>
          <w14:textFill>
            <w14:solidFill>
              <w14:schemeClr w14:val="tx1"/>
            </w14:solidFill>
          </w14:textFill>
        </w:rPr>
        <w:t>XXXX</w:t>
      </w:r>
      <w:r>
        <w:rPr>
          <w:rFonts w:ascii="Times New Roman" w:hAnsi="Times New Roman" w:cs="Times New Roman"/>
          <w:color w:val="000000" w:themeColor="text1"/>
          <w:sz w:val="30"/>
          <w:szCs w:val="30"/>
          <w:u w:val="single"/>
          <w14:textFill>
            <w14:solidFill>
              <w14:schemeClr w14:val="tx1"/>
            </w14:solidFill>
          </w14:textFill>
        </w:rPr>
        <w:t>-X</w:t>
      </w:r>
      <w:r>
        <w:rPr>
          <w:rFonts w:ascii="Times New Roman" w:hAnsi="Times New Roman" w:eastAsia="黑体" w:cs="Times New Roman"/>
          <w:color w:val="000000" w:themeColor="text1"/>
          <w:sz w:val="30"/>
          <w:szCs w:val="30"/>
          <w:u w:val="single"/>
          <w14:textFill>
            <w14:solidFill>
              <w14:schemeClr w14:val="tx1"/>
            </w14:solidFill>
          </w14:textFill>
        </w:rPr>
        <w:t>发布</w:t>
      </w:r>
      <w:r>
        <w:rPr>
          <w:rFonts w:ascii="Times New Roman" w:hAnsi="Times New Roman" w:cs="Times New Roman"/>
          <w:color w:val="000000" w:themeColor="text1"/>
          <w:sz w:val="30"/>
          <w:szCs w:val="30"/>
          <w:u w:val="single"/>
          <w14:textFill>
            <w14:solidFill>
              <w14:schemeClr w14:val="tx1"/>
            </w14:solidFill>
          </w14:textFill>
        </w:rPr>
        <w:t xml:space="preserve">                         </w:t>
      </w:r>
      <w:r>
        <w:rPr>
          <w:rFonts w:hint="eastAsia" w:ascii="Times New Roman" w:hAnsi="Times New Roman" w:cs="Times New Roman"/>
          <w:color w:val="000000" w:themeColor="text1"/>
          <w:sz w:val="30"/>
          <w:szCs w:val="30"/>
          <w:u w:val="single"/>
          <w14:textFill>
            <w14:solidFill>
              <w14:schemeClr w14:val="tx1"/>
            </w14:solidFill>
          </w14:textFill>
        </w:rPr>
        <w:t>XXXX</w:t>
      </w:r>
      <w:r>
        <w:rPr>
          <w:rFonts w:ascii="Times New Roman" w:hAnsi="Times New Roman" w:cs="Times New Roman"/>
          <w:color w:val="000000" w:themeColor="text1"/>
          <w:sz w:val="30"/>
          <w:szCs w:val="30"/>
          <w:u w:val="single"/>
          <w14:textFill>
            <w14:solidFill>
              <w14:schemeClr w14:val="tx1"/>
            </w14:solidFill>
          </w14:textFill>
        </w:rPr>
        <w:t>-XX-XX</w:t>
      </w:r>
      <w:r>
        <w:rPr>
          <w:rFonts w:ascii="Times New Roman" w:hAnsi="Times New Roman" w:eastAsia="黑体" w:cs="Times New Roman"/>
          <w:color w:val="000000" w:themeColor="text1"/>
          <w:sz w:val="30"/>
          <w:szCs w:val="30"/>
          <w:u w:val="single"/>
          <w14:textFill>
            <w14:solidFill>
              <w14:schemeClr w14:val="tx1"/>
            </w14:solidFill>
          </w14:textFill>
        </w:rPr>
        <w:t>实施</w:t>
      </w:r>
      <w:r>
        <w:rPr>
          <w:rFonts w:hint="eastAsia" w:eastAsia="黑体" w:cs="Times New Roman"/>
          <w:color w:val="000000" w:themeColor="text1"/>
          <w:sz w:val="30"/>
          <w:szCs w:val="30"/>
          <w:u w:val="single"/>
          <w:lang w:val="en-US" w:eastAsia="zh-CN"/>
          <w14:textFill>
            <w14:solidFill>
              <w14:schemeClr w14:val="tx1"/>
            </w14:solidFill>
          </w14:textFill>
        </w:rPr>
        <w:t xml:space="preserve">        </w:t>
      </w:r>
    </w:p>
    <w:p w14:paraId="77886C0F">
      <w:pPr>
        <w:jc w:val="center"/>
        <w:rPr>
          <w:rFonts w:ascii="Times New Roman" w:hAnsi="Times New Roman" w:cs="Times New Roman"/>
          <w:b/>
          <w:color w:val="000000" w:themeColor="text1"/>
          <w:sz w:val="30"/>
          <w:szCs w:val="30"/>
          <w14:textFill>
            <w14:solidFill>
              <w14:schemeClr w14:val="tx1"/>
            </w14:solidFill>
          </w14:textFill>
        </w:rPr>
      </w:pPr>
    </w:p>
    <w:p w14:paraId="590A5592">
      <w:pPr>
        <w:jc w:val="center"/>
        <w:rPr>
          <w:rFonts w:ascii="Times New Roman" w:hAnsi="Times New Roman" w:cs="Times New Roman"/>
          <w:b/>
          <w:color w:val="000000" w:themeColor="text1"/>
          <w:sz w:val="30"/>
          <w:szCs w:val="30"/>
          <w14:textFill>
            <w14:solidFill>
              <w14:schemeClr w14:val="tx1"/>
            </w14:solidFill>
          </w14:textFill>
        </w:rPr>
      </w:pPr>
    </w:p>
    <w:p w14:paraId="6405E673">
      <w:pPr>
        <w:wordWrap w:val="0"/>
        <w:spacing w:line="480" w:lineRule="exact"/>
        <w:ind w:right="-58"/>
        <w:jc w:val="center"/>
        <w:rPr>
          <w:rFonts w:ascii="Times New Roman" w:hAnsi="Times New Roman" w:eastAsia="黑体" w:cs="Times New Roman"/>
          <w:color w:val="000000" w:themeColor="text1"/>
          <w:sz w:val="30"/>
          <w:szCs w:val="30"/>
          <w14:textFill>
            <w14:solidFill>
              <w14:schemeClr w14:val="tx1"/>
            </w14:solidFill>
          </w14:textFill>
        </w:rPr>
      </w:pPr>
      <w:r>
        <w:rPr>
          <w:rFonts w:hint="eastAsia" w:cs="Times New Roman"/>
          <w:b/>
          <w:color w:val="000000" w:themeColor="text1"/>
          <w:sz w:val="30"/>
          <w:szCs w:val="30"/>
          <w:lang w:val="en-US" w:eastAsia="zh-CN"/>
          <w14:textFill>
            <w14:solidFill>
              <w14:schemeClr w14:val="tx1"/>
            </w14:solidFill>
          </w14:textFill>
        </w:rPr>
        <w:t>中国乡村发展</w:t>
      </w:r>
      <w:r>
        <w:rPr>
          <w:rFonts w:ascii="Times New Roman" w:hAnsi="Times New Roman" w:cs="Times New Roman"/>
          <w:b/>
          <w:color w:val="000000" w:themeColor="text1"/>
          <w:sz w:val="30"/>
          <w:szCs w:val="30"/>
          <w14:textFill>
            <w14:solidFill>
              <w14:schemeClr w14:val="tx1"/>
            </w14:solidFill>
          </w14:textFill>
        </w:rPr>
        <w:t xml:space="preserve">协会 </w:t>
      </w:r>
      <w:r>
        <w:rPr>
          <w:rFonts w:ascii="Times New Roman" w:hAnsi="Times New Roman" w:eastAsia="黑体" w:cs="Times New Roman"/>
          <w:color w:val="000000" w:themeColor="text1"/>
          <w:sz w:val="30"/>
          <w:szCs w:val="30"/>
          <w14:textFill>
            <w14:solidFill>
              <w14:schemeClr w14:val="tx1"/>
            </w14:solidFill>
          </w14:textFill>
        </w:rPr>
        <w:t>发布</w:t>
      </w:r>
    </w:p>
    <w:p w14:paraId="3F06334E">
      <w:pPr>
        <w:widowControl/>
        <w:spacing w:after="0" w:line="240" w:lineRule="auto"/>
        <w:jc w:val="left"/>
        <w:sectPr>
          <w:pgSz w:w="11906" w:h="16838"/>
          <w:pgMar w:top="567" w:right="850" w:bottom="1134" w:left="1418" w:header="0" w:footer="0" w:gutter="0"/>
          <w:pgNumType w:fmt="upperRoman" w:start="1"/>
          <w:cols w:space="425" w:num="1"/>
          <w:docGrid w:type="lines" w:linePitch="312" w:charSpace="0"/>
        </w:sectPr>
      </w:pPr>
      <w:r>
        <w:rPr>
          <w:rFonts w:hint="eastAsia"/>
        </w:rPr>
        <mc:AlternateContent>
          <mc:Choice Requires="wps">
            <w:drawing>
              <wp:anchor distT="0" distB="0" distL="114300" distR="114300" simplePos="0" relativeHeight="251660288" behindDoc="1" locked="0" layoutInCell="1" allowOverlap="1">
                <wp:simplePos x="0" y="0"/>
                <wp:positionH relativeFrom="column">
                  <wp:posOffset>-66675</wp:posOffset>
                </wp:positionH>
                <wp:positionV relativeFrom="paragraph">
                  <wp:posOffset>396240</wp:posOffset>
                </wp:positionV>
                <wp:extent cx="866775" cy="198120"/>
                <wp:effectExtent l="0" t="0" r="9525" b="11430"/>
                <wp:wrapNone/>
                <wp:docPr id="8" name="BAH"/>
                <wp:cNvGraphicFramePr/>
                <a:graphic xmlns:a="http://schemas.openxmlformats.org/drawingml/2006/main">
                  <a:graphicData uri="http://schemas.microsoft.com/office/word/2010/wordprocessingShape">
                    <wps:wsp>
                      <wps:cNvSpPr/>
                      <wps:spPr>
                        <a:xfrm>
                          <a:off x="0" y="0"/>
                          <a:ext cx="866775" cy="198120"/>
                        </a:xfrm>
                        <a:prstGeom prst="rect">
                          <a:avLst/>
                        </a:prstGeom>
                        <a:solidFill>
                          <a:srgbClr val="FFFFFF"/>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BAH" o:spid="_x0000_s1026" o:spt="1" style="position:absolute;left:0pt;margin-left:-5.25pt;margin-top:31.2pt;height:15.6pt;width:68.25pt;z-index:-251656192;v-text-anchor:middle;mso-width-relative:page;mso-height-relative:page;" fillcolor="#FFFFFF" filled="t" stroked="f" coordsize="21600,21600" o:gfxdata="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tabbHNUAAAAJAQAADwAAAAAAAAABACAAAAAiAAAAZHJzL2Rvd25yZXYueG1sUEsBAhQAFAAAAAgA&#10;h07iQOeNl4FhAgAA0wQAAA4AAAAAAAAAAQAgAAAAJAEAAGRycy9lMm9Eb2MueG1sUEsFBgAAAAAG&#10;AAYAWQEAAPcFAAAAAA==&#10;">
                <v:fill on="t" focussize="0,0"/>
                <v:stroke on="f" weight="2pt" miterlimit="8" joinstyle="miter"/>
                <v:imagedata o:title=""/>
                <o:lock v:ext="edit" aspectratio="f"/>
              </v:rect>
            </w:pict>
          </mc:Fallback>
        </mc:AlternateContent>
      </w:r>
    </w:p>
    <w:p w14:paraId="142A55D1">
      <w:pPr>
        <w:pStyle w:val="12"/>
        <w:spacing w:after="360"/>
      </w:pPr>
      <w:bookmarkStart w:id="9" w:name="BookMark1"/>
      <w:r>
        <w:rPr>
          <w:rFonts w:hint="eastAsia"/>
          <w:spacing w:val="320"/>
        </w:rPr>
        <w:t>目</w:t>
      </w:r>
      <w:r>
        <w:rPr>
          <w:rFonts w:hint="eastAsia"/>
        </w:rPr>
        <w:t>次</w:t>
      </w:r>
    </w:p>
    <w:p w14:paraId="781D590B">
      <w:pPr>
        <w:pStyle w:val="4"/>
        <w:rPr>
          <w:rFonts w:hint="eastAsia" w:asciiTheme="minorHAnsi" w:hAnsiTheme="minorHAnsi" w:eastAsiaTheme="minorEastAsia" w:cstheme="minorBidi"/>
          <w:sz w:val="22"/>
          <w:szCs w:val="24"/>
          <w14:ligatures w14:val="standardContextual"/>
        </w:rPr>
      </w:pPr>
      <w:r>
        <w:fldChar w:fldCharType="begin"/>
      </w:r>
      <w:r>
        <w:instrText xml:space="preserve"> TOC \o "1-1" \h \t "标准文件_一级条标题,2,标准文件_附录一级条标题,2," </w:instrText>
      </w:r>
      <w:r>
        <w:fldChar w:fldCharType="separate"/>
      </w:r>
      <w:r>
        <w:fldChar w:fldCharType="begin"/>
      </w:r>
      <w:r>
        <w:instrText xml:space="preserve"> HYPERLINK \l "_Toc228868539" </w:instrText>
      </w:r>
      <w:r>
        <w:fldChar w:fldCharType="separate"/>
      </w:r>
      <w:r>
        <w:rPr>
          <w:rStyle w:val="10"/>
          <w:spacing w:val="320"/>
        </w:rPr>
        <w:t>前</w:t>
      </w:r>
      <w:r>
        <w:rPr>
          <w:rStyle w:val="10"/>
        </w:rPr>
        <w:t>言</w:t>
      </w:r>
      <w:r>
        <w:tab/>
      </w:r>
      <w:r>
        <w:fldChar w:fldCharType="begin"/>
      </w:r>
      <w:r>
        <w:instrText xml:space="preserve"> PAGEREF _Toc228868539 \h </w:instrText>
      </w:r>
      <w:r>
        <w:fldChar w:fldCharType="separate"/>
      </w:r>
      <w:r>
        <w:t>II</w:t>
      </w:r>
      <w:r>
        <w:fldChar w:fldCharType="end"/>
      </w:r>
      <w:r>
        <w:fldChar w:fldCharType="end"/>
      </w:r>
    </w:p>
    <w:p w14:paraId="18EDFC06">
      <w:pPr>
        <w:pStyle w:val="4"/>
        <w:rPr>
          <w:rFonts w:hint="eastAsia" w:asciiTheme="minorHAnsi" w:hAnsiTheme="minorHAnsi" w:eastAsiaTheme="minorEastAsia" w:cstheme="minorBidi"/>
          <w:sz w:val="22"/>
          <w:szCs w:val="24"/>
          <w14:ligatures w14:val="standardContextual"/>
        </w:rPr>
      </w:pPr>
      <w:r>
        <w:fldChar w:fldCharType="begin"/>
      </w:r>
      <w:r>
        <w:instrText xml:space="preserve"> HYPERLINK \l "_Toc228868540" </w:instrText>
      </w:r>
      <w:r>
        <w:fldChar w:fldCharType="separate"/>
      </w:r>
      <w:r>
        <w:rPr>
          <w:rStyle w:val="10"/>
          <w:spacing w:val="320"/>
        </w:rPr>
        <w:t>引</w:t>
      </w:r>
      <w:r>
        <w:rPr>
          <w:rStyle w:val="10"/>
        </w:rPr>
        <w:t>言</w:t>
      </w:r>
      <w:r>
        <w:tab/>
      </w:r>
      <w:r>
        <w:fldChar w:fldCharType="begin"/>
      </w:r>
      <w:r>
        <w:instrText xml:space="preserve"> PAGEREF _Toc228868540 \h </w:instrText>
      </w:r>
      <w:r>
        <w:fldChar w:fldCharType="separate"/>
      </w:r>
      <w:r>
        <w:t>III</w:t>
      </w:r>
      <w:r>
        <w:fldChar w:fldCharType="end"/>
      </w:r>
      <w:r>
        <w:fldChar w:fldCharType="end"/>
      </w:r>
    </w:p>
    <w:p w14:paraId="7CEA43C6">
      <w:pPr>
        <w:pStyle w:val="4"/>
        <w:rPr>
          <w:rFonts w:hint="eastAsia" w:asciiTheme="minorHAnsi" w:hAnsiTheme="minorHAnsi" w:eastAsiaTheme="minorEastAsia" w:cstheme="minorBidi"/>
          <w:sz w:val="22"/>
          <w:szCs w:val="24"/>
          <w14:ligatures w14:val="standardContextual"/>
        </w:rPr>
      </w:pPr>
      <w:r>
        <w:fldChar w:fldCharType="begin"/>
      </w:r>
      <w:r>
        <w:instrText xml:space="preserve"> HYPERLINK \l "_Toc228868541" </w:instrText>
      </w:r>
      <w:r>
        <w:fldChar w:fldCharType="separate"/>
      </w:r>
      <w:r>
        <w:rPr>
          <w:rStyle w:val="10"/>
        </w:rPr>
        <w:t>1 范围</w:t>
      </w:r>
      <w:r>
        <w:tab/>
      </w:r>
      <w:r>
        <w:fldChar w:fldCharType="begin"/>
      </w:r>
      <w:r>
        <w:instrText xml:space="preserve"> PAGEREF _Toc228868541 \h </w:instrText>
      </w:r>
      <w:r>
        <w:fldChar w:fldCharType="separate"/>
      </w:r>
      <w:r>
        <w:t>1</w:t>
      </w:r>
      <w:r>
        <w:fldChar w:fldCharType="end"/>
      </w:r>
      <w:r>
        <w:fldChar w:fldCharType="end"/>
      </w:r>
    </w:p>
    <w:p w14:paraId="4236FBB7">
      <w:pPr>
        <w:pStyle w:val="4"/>
        <w:rPr>
          <w:rFonts w:hint="eastAsia" w:asciiTheme="minorHAnsi" w:hAnsiTheme="minorHAnsi" w:eastAsiaTheme="minorEastAsia" w:cstheme="minorBidi"/>
          <w:sz w:val="22"/>
          <w:szCs w:val="24"/>
          <w14:ligatures w14:val="standardContextual"/>
        </w:rPr>
      </w:pPr>
      <w:r>
        <w:fldChar w:fldCharType="begin"/>
      </w:r>
      <w:r>
        <w:instrText xml:space="preserve"> HYPERLINK \l "_Toc228868542" </w:instrText>
      </w:r>
      <w:r>
        <w:fldChar w:fldCharType="separate"/>
      </w:r>
      <w:r>
        <w:rPr>
          <w:rStyle w:val="10"/>
        </w:rPr>
        <w:t>2 规范性引用文件</w:t>
      </w:r>
      <w:r>
        <w:tab/>
      </w:r>
      <w:r>
        <w:fldChar w:fldCharType="begin"/>
      </w:r>
      <w:r>
        <w:instrText xml:space="preserve"> PAGEREF _Toc228868542 \h </w:instrText>
      </w:r>
      <w:r>
        <w:fldChar w:fldCharType="separate"/>
      </w:r>
      <w:r>
        <w:t>1</w:t>
      </w:r>
      <w:r>
        <w:fldChar w:fldCharType="end"/>
      </w:r>
      <w:r>
        <w:fldChar w:fldCharType="end"/>
      </w:r>
    </w:p>
    <w:p w14:paraId="52636DD3">
      <w:pPr>
        <w:pStyle w:val="4"/>
        <w:rPr>
          <w:rFonts w:hint="eastAsia" w:asciiTheme="minorHAnsi" w:hAnsiTheme="minorHAnsi" w:eastAsiaTheme="minorEastAsia" w:cstheme="minorBidi"/>
          <w:sz w:val="22"/>
          <w:szCs w:val="24"/>
          <w14:ligatures w14:val="standardContextual"/>
        </w:rPr>
      </w:pPr>
      <w:r>
        <w:fldChar w:fldCharType="begin"/>
      </w:r>
      <w:r>
        <w:instrText xml:space="preserve"> HYPERLINK \l "_Toc228868543" </w:instrText>
      </w:r>
      <w:r>
        <w:fldChar w:fldCharType="separate"/>
      </w:r>
      <w:r>
        <w:rPr>
          <w:rStyle w:val="10"/>
        </w:rPr>
        <w:t>3 术语和定义</w:t>
      </w:r>
      <w:r>
        <w:tab/>
      </w:r>
      <w:r>
        <w:fldChar w:fldCharType="begin"/>
      </w:r>
      <w:r>
        <w:instrText xml:space="preserve"> PAGEREF _Toc228868543 \h </w:instrText>
      </w:r>
      <w:r>
        <w:fldChar w:fldCharType="separate"/>
      </w:r>
      <w:r>
        <w:t>1</w:t>
      </w:r>
      <w:r>
        <w:fldChar w:fldCharType="end"/>
      </w:r>
      <w:r>
        <w:fldChar w:fldCharType="end"/>
      </w:r>
    </w:p>
    <w:p w14:paraId="4B792965">
      <w:pPr>
        <w:pStyle w:val="4"/>
        <w:rPr>
          <w:rFonts w:hint="eastAsia" w:asciiTheme="minorHAnsi" w:hAnsiTheme="minorHAnsi" w:eastAsiaTheme="minorEastAsia" w:cstheme="minorBidi"/>
          <w:sz w:val="22"/>
          <w:szCs w:val="24"/>
          <w14:ligatures w14:val="standardContextual"/>
        </w:rPr>
      </w:pPr>
      <w:r>
        <w:fldChar w:fldCharType="begin"/>
      </w:r>
      <w:r>
        <w:instrText xml:space="preserve"> HYPERLINK \l "_Toc228868544" </w:instrText>
      </w:r>
      <w:r>
        <w:fldChar w:fldCharType="separate"/>
      </w:r>
      <w:r>
        <w:rPr>
          <w:rStyle w:val="10"/>
        </w:rPr>
        <w:t>4 指导思想和基本原则</w:t>
      </w:r>
      <w:r>
        <w:tab/>
      </w:r>
      <w:r>
        <w:fldChar w:fldCharType="begin"/>
      </w:r>
      <w:r>
        <w:instrText xml:space="preserve"> PAGEREF _Toc228868544 \h </w:instrText>
      </w:r>
      <w:r>
        <w:fldChar w:fldCharType="separate"/>
      </w:r>
      <w:r>
        <w:t>2</w:t>
      </w:r>
      <w:r>
        <w:fldChar w:fldCharType="end"/>
      </w:r>
      <w:r>
        <w:fldChar w:fldCharType="end"/>
      </w:r>
    </w:p>
    <w:p w14:paraId="0235D732">
      <w:pPr>
        <w:pStyle w:val="5"/>
        <w:rPr>
          <w:rFonts w:hint="eastAsia" w:asciiTheme="minorHAnsi" w:hAnsiTheme="minorHAnsi" w:eastAsiaTheme="minorEastAsia" w:cstheme="minorBidi"/>
          <w:sz w:val="22"/>
          <w:szCs w:val="24"/>
          <w14:ligatures w14:val="standardContextual"/>
        </w:rPr>
      </w:pPr>
      <w:r>
        <w:fldChar w:fldCharType="begin"/>
      </w:r>
      <w:r>
        <w:instrText xml:space="preserve"> HYPERLINK \l "_Toc228868545" </w:instrText>
      </w:r>
      <w:r>
        <w:fldChar w:fldCharType="separate"/>
      </w:r>
      <w:r>
        <w:rPr>
          <w:rStyle w:val="10"/>
          <w:kern w:val="0"/>
          <w14:scene3d>
            <w14:lightRig w14:rig="threePt" w14:dir="t">
              <w14:rot w14:lat="0" w14:lon="0" w14:rev="0"/>
            </w14:lightRig>
          </w14:scene3d>
        </w:rPr>
        <w:t>4.1</w:t>
      </w:r>
      <w:r>
        <w:rPr>
          <w:rStyle w:val="10"/>
        </w:rPr>
        <w:t xml:space="preserve"> 指导思想</w:t>
      </w:r>
      <w:r>
        <w:tab/>
      </w:r>
      <w:r>
        <w:fldChar w:fldCharType="begin"/>
      </w:r>
      <w:r>
        <w:instrText xml:space="preserve"> PAGEREF _Toc228868545 \h </w:instrText>
      </w:r>
      <w:r>
        <w:fldChar w:fldCharType="separate"/>
      </w:r>
      <w:r>
        <w:t>2</w:t>
      </w:r>
      <w:r>
        <w:fldChar w:fldCharType="end"/>
      </w:r>
      <w:r>
        <w:fldChar w:fldCharType="end"/>
      </w:r>
    </w:p>
    <w:p w14:paraId="668D41EC">
      <w:pPr>
        <w:pStyle w:val="5"/>
        <w:rPr>
          <w:rFonts w:hint="eastAsia" w:asciiTheme="minorHAnsi" w:hAnsiTheme="minorHAnsi" w:eastAsiaTheme="minorEastAsia" w:cstheme="minorBidi"/>
          <w:sz w:val="22"/>
          <w:szCs w:val="24"/>
          <w14:ligatures w14:val="standardContextual"/>
        </w:rPr>
      </w:pPr>
      <w:r>
        <w:fldChar w:fldCharType="begin"/>
      </w:r>
      <w:r>
        <w:instrText xml:space="preserve"> HYPERLINK \l "_Toc228868546" </w:instrText>
      </w:r>
      <w:r>
        <w:fldChar w:fldCharType="separate"/>
      </w:r>
      <w:r>
        <w:rPr>
          <w:rStyle w:val="10"/>
          <w:kern w:val="0"/>
          <w14:scene3d>
            <w14:lightRig w14:rig="threePt" w14:dir="t">
              <w14:rot w14:lat="0" w14:lon="0" w14:rev="0"/>
            </w14:lightRig>
          </w14:scene3d>
        </w:rPr>
        <w:t>4.2</w:t>
      </w:r>
      <w:r>
        <w:rPr>
          <w:rStyle w:val="10"/>
        </w:rPr>
        <w:t xml:space="preserve"> 基本原则</w:t>
      </w:r>
      <w:r>
        <w:tab/>
      </w:r>
      <w:r>
        <w:fldChar w:fldCharType="begin"/>
      </w:r>
      <w:r>
        <w:instrText xml:space="preserve"> PAGEREF _Toc228868546 \h </w:instrText>
      </w:r>
      <w:r>
        <w:fldChar w:fldCharType="separate"/>
      </w:r>
      <w:r>
        <w:t>2</w:t>
      </w:r>
      <w:r>
        <w:fldChar w:fldCharType="end"/>
      </w:r>
      <w:r>
        <w:fldChar w:fldCharType="end"/>
      </w:r>
    </w:p>
    <w:p w14:paraId="5426F3BF">
      <w:pPr>
        <w:pStyle w:val="4"/>
        <w:rPr>
          <w:rFonts w:hint="eastAsia" w:asciiTheme="minorHAnsi" w:hAnsiTheme="minorHAnsi" w:eastAsiaTheme="minorEastAsia" w:cstheme="minorBidi"/>
          <w:sz w:val="22"/>
          <w:szCs w:val="24"/>
          <w14:ligatures w14:val="standardContextual"/>
        </w:rPr>
      </w:pPr>
      <w:r>
        <w:fldChar w:fldCharType="begin"/>
      </w:r>
      <w:r>
        <w:instrText xml:space="preserve"> HYPERLINK \l "_Toc228868547" </w:instrText>
      </w:r>
      <w:r>
        <w:fldChar w:fldCharType="separate"/>
      </w:r>
      <w:r>
        <w:rPr>
          <w:rStyle w:val="10"/>
        </w:rPr>
        <w:t>5 评价工作流程</w:t>
      </w:r>
      <w:r>
        <w:tab/>
      </w:r>
      <w:r>
        <w:fldChar w:fldCharType="begin"/>
      </w:r>
      <w:r>
        <w:instrText xml:space="preserve"> PAGEREF _Toc228868547 \h </w:instrText>
      </w:r>
      <w:r>
        <w:fldChar w:fldCharType="separate"/>
      </w:r>
      <w:r>
        <w:t>2</w:t>
      </w:r>
      <w:r>
        <w:fldChar w:fldCharType="end"/>
      </w:r>
      <w:r>
        <w:fldChar w:fldCharType="end"/>
      </w:r>
    </w:p>
    <w:p w14:paraId="7561BE46">
      <w:pPr>
        <w:pStyle w:val="5"/>
        <w:rPr>
          <w:rFonts w:hint="eastAsia" w:asciiTheme="minorHAnsi" w:hAnsiTheme="minorHAnsi" w:eastAsiaTheme="minorEastAsia" w:cstheme="minorBidi"/>
          <w:sz w:val="22"/>
          <w:szCs w:val="24"/>
          <w14:ligatures w14:val="standardContextual"/>
        </w:rPr>
      </w:pPr>
      <w:r>
        <w:fldChar w:fldCharType="begin"/>
      </w:r>
      <w:r>
        <w:instrText xml:space="preserve"> HYPERLINK \l "_Toc228868548" </w:instrText>
      </w:r>
      <w:r>
        <w:fldChar w:fldCharType="separate"/>
      </w:r>
      <w:r>
        <w:rPr>
          <w:rStyle w:val="10"/>
          <w:kern w:val="0"/>
          <w14:scene3d>
            <w14:lightRig w14:rig="threePt" w14:dir="t">
              <w14:rot w14:lat="0" w14:lon="0" w14:rev="0"/>
            </w14:lightRig>
          </w14:scene3d>
        </w:rPr>
        <w:t>5.1</w:t>
      </w:r>
      <w:r>
        <w:rPr>
          <w:rStyle w:val="10"/>
        </w:rPr>
        <w:t xml:space="preserve"> 评价组织</w:t>
      </w:r>
      <w:r>
        <w:tab/>
      </w:r>
      <w:r>
        <w:fldChar w:fldCharType="begin"/>
      </w:r>
      <w:r>
        <w:instrText xml:space="preserve"> PAGEREF _Toc228868548 \h </w:instrText>
      </w:r>
      <w:r>
        <w:fldChar w:fldCharType="separate"/>
      </w:r>
      <w:r>
        <w:t>2</w:t>
      </w:r>
      <w:r>
        <w:fldChar w:fldCharType="end"/>
      </w:r>
      <w:r>
        <w:fldChar w:fldCharType="end"/>
      </w:r>
    </w:p>
    <w:p w14:paraId="41CD861B">
      <w:pPr>
        <w:pStyle w:val="5"/>
        <w:rPr>
          <w:rFonts w:hint="eastAsia" w:asciiTheme="minorHAnsi" w:hAnsiTheme="minorHAnsi" w:eastAsiaTheme="minorEastAsia" w:cstheme="minorBidi"/>
          <w:sz w:val="22"/>
          <w:szCs w:val="24"/>
          <w14:ligatures w14:val="standardContextual"/>
        </w:rPr>
      </w:pPr>
      <w:r>
        <w:fldChar w:fldCharType="begin"/>
      </w:r>
      <w:r>
        <w:instrText xml:space="preserve"> HYPERLINK \l "_Toc228868549" </w:instrText>
      </w:r>
      <w:r>
        <w:fldChar w:fldCharType="separate"/>
      </w:r>
      <w:r>
        <w:rPr>
          <w:rStyle w:val="10"/>
          <w:kern w:val="0"/>
          <w14:scene3d>
            <w14:lightRig w14:rig="threePt" w14:dir="t">
              <w14:rot w14:lat="0" w14:lon="0" w14:rev="0"/>
            </w14:lightRig>
          </w14:scene3d>
        </w:rPr>
        <w:t>5.2</w:t>
      </w:r>
      <w:r>
        <w:rPr>
          <w:rStyle w:val="10"/>
        </w:rPr>
        <w:t xml:space="preserve"> 评价方案</w:t>
      </w:r>
      <w:r>
        <w:tab/>
      </w:r>
      <w:r>
        <w:fldChar w:fldCharType="begin"/>
      </w:r>
      <w:r>
        <w:instrText xml:space="preserve"> PAGEREF _Toc228868549 \h </w:instrText>
      </w:r>
      <w:r>
        <w:fldChar w:fldCharType="separate"/>
      </w:r>
      <w:r>
        <w:t>2</w:t>
      </w:r>
      <w:r>
        <w:fldChar w:fldCharType="end"/>
      </w:r>
      <w:r>
        <w:fldChar w:fldCharType="end"/>
      </w:r>
    </w:p>
    <w:p w14:paraId="049E8B42">
      <w:pPr>
        <w:pStyle w:val="5"/>
        <w:rPr>
          <w:rFonts w:hint="eastAsia" w:asciiTheme="minorHAnsi" w:hAnsiTheme="minorHAnsi" w:eastAsiaTheme="minorEastAsia" w:cstheme="minorBidi"/>
          <w:sz w:val="22"/>
          <w:szCs w:val="24"/>
          <w14:ligatures w14:val="standardContextual"/>
        </w:rPr>
      </w:pPr>
      <w:r>
        <w:fldChar w:fldCharType="begin"/>
      </w:r>
      <w:r>
        <w:instrText xml:space="preserve"> HYPERLINK \l "_Toc228868550" </w:instrText>
      </w:r>
      <w:r>
        <w:fldChar w:fldCharType="separate"/>
      </w:r>
      <w:r>
        <w:rPr>
          <w:rStyle w:val="10"/>
          <w:kern w:val="0"/>
          <w14:scene3d>
            <w14:lightRig w14:rig="threePt" w14:dir="t">
              <w14:rot w14:lat="0" w14:lon="0" w14:rev="0"/>
            </w14:lightRig>
          </w14:scene3d>
        </w:rPr>
        <w:t>5.3</w:t>
      </w:r>
      <w:r>
        <w:rPr>
          <w:rStyle w:val="10"/>
        </w:rPr>
        <w:t xml:space="preserve"> 申报条件</w:t>
      </w:r>
      <w:r>
        <w:tab/>
      </w:r>
      <w:r>
        <w:fldChar w:fldCharType="begin"/>
      </w:r>
      <w:r>
        <w:instrText xml:space="preserve"> PAGEREF _Toc228868550 \h </w:instrText>
      </w:r>
      <w:r>
        <w:fldChar w:fldCharType="separate"/>
      </w:r>
      <w:r>
        <w:t>3</w:t>
      </w:r>
      <w:r>
        <w:fldChar w:fldCharType="end"/>
      </w:r>
      <w:r>
        <w:fldChar w:fldCharType="end"/>
      </w:r>
    </w:p>
    <w:p w14:paraId="51512776">
      <w:pPr>
        <w:pStyle w:val="5"/>
        <w:rPr>
          <w:rFonts w:hint="eastAsia" w:asciiTheme="minorHAnsi" w:hAnsiTheme="minorHAnsi" w:eastAsiaTheme="minorEastAsia" w:cstheme="minorBidi"/>
          <w:sz w:val="22"/>
          <w:szCs w:val="24"/>
          <w14:ligatures w14:val="standardContextual"/>
        </w:rPr>
      </w:pPr>
      <w:r>
        <w:fldChar w:fldCharType="begin"/>
      </w:r>
      <w:r>
        <w:instrText xml:space="preserve"> HYPERLINK \l "_Toc228868551" </w:instrText>
      </w:r>
      <w:r>
        <w:fldChar w:fldCharType="separate"/>
      </w:r>
      <w:r>
        <w:rPr>
          <w:rStyle w:val="10"/>
          <w:kern w:val="0"/>
          <w14:scene3d>
            <w14:lightRig w14:rig="threePt" w14:dir="t">
              <w14:rot w14:lat="0" w14:lon="0" w14:rev="0"/>
            </w14:lightRig>
          </w14:scene3d>
        </w:rPr>
        <w:t>5.4</w:t>
      </w:r>
      <w:r>
        <w:rPr>
          <w:rStyle w:val="10"/>
        </w:rPr>
        <w:t xml:space="preserve"> 发布通知</w:t>
      </w:r>
      <w:r>
        <w:tab/>
      </w:r>
      <w:r>
        <w:fldChar w:fldCharType="begin"/>
      </w:r>
      <w:r>
        <w:instrText xml:space="preserve"> PAGEREF _Toc228868551 \h </w:instrText>
      </w:r>
      <w:r>
        <w:fldChar w:fldCharType="separate"/>
      </w:r>
      <w:r>
        <w:t>3</w:t>
      </w:r>
      <w:r>
        <w:fldChar w:fldCharType="end"/>
      </w:r>
      <w:r>
        <w:fldChar w:fldCharType="end"/>
      </w:r>
    </w:p>
    <w:p w14:paraId="3163B475">
      <w:pPr>
        <w:pStyle w:val="5"/>
        <w:rPr>
          <w:rFonts w:hint="eastAsia" w:asciiTheme="minorHAnsi" w:hAnsiTheme="minorHAnsi" w:eastAsiaTheme="minorEastAsia" w:cstheme="minorBidi"/>
          <w:sz w:val="22"/>
          <w:szCs w:val="24"/>
          <w14:ligatures w14:val="standardContextual"/>
        </w:rPr>
      </w:pPr>
      <w:r>
        <w:fldChar w:fldCharType="begin"/>
      </w:r>
      <w:r>
        <w:instrText xml:space="preserve"> HYPERLINK \l "_Toc228868552" </w:instrText>
      </w:r>
      <w:r>
        <w:fldChar w:fldCharType="separate"/>
      </w:r>
      <w:r>
        <w:rPr>
          <w:rStyle w:val="10"/>
          <w:kern w:val="0"/>
          <w14:scene3d>
            <w14:lightRig w14:rig="threePt" w14:dir="t">
              <w14:rot w14:lat="0" w14:lon="0" w14:rev="0"/>
            </w14:lightRig>
          </w14:scene3d>
        </w:rPr>
        <w:t>5.5</w:t>
      </w:r>
      <w:r>
        <w:rPr>
          <w:rStyle w:val="10"/>
        </w:rPr>
        <w:t xml:space="preserve"> 申报受理</w:t>
      </w:r>
      <w:r>
        <w:tab/>
      </w:r>
      <w:r>
        <w:fldChar w:fldCharType="begin"/>
      </w:r>
      <w:r>
        <w:instrText xml:space="preserve"> PAGEREF _Toc228868552 \h </w:instrText>
      </w:r>
      <w:r>
        <w:fldChar w:fldCharType="separate"/>
      </w:r>
      <w:r>
        <w:t>3</w:t>
      </w:r>
      <w:r>
        <w:fldChar w:fldCharType="end"/>
      </w:r>
      <w:r>
        <w:fldChar w:fldCharType="end"/>
      </w:r>
    </w:p>
    <w:p w14:paraId="590EB722">
      <w:pPr>
        <w:pStyle w:val="5"/>
        <w:rPr>
          <w:rFonts w:hint="eastAsia" w:asciiTheme="minorHAnsi" w:hAnsiTheme="minorHAnsi" w:eastAsiaTheme="minorEastAsia" w:cstheme="minorBidi"/>
          <w:sz w:val="22"/>
          <w:szCs w:val="24"/>
          <w14:ligatures w14:val="standardContextual"/>
        </w:rPr>
      </w:pPr>
      <w:r>
        <w:fldChar w:fldCharType="begin"/>
      </w:r>
      <w:r>
        <w:instrText xml:space="preserve"> HYPERLINK \l "_Toc228868553" </w:instrText>
      </w:r>
      <w:r>
        <w:fldChar w:fldCharType="separate"/>
      </w:r>
      <w:r>
        <w:rPr>
          <w:rStyle w:val="10"/>
          <w:kern w:val="0"/>
          <w14:scene3d>
            <w14:lightRig w14:rig="threePt" w14:dir="t">
              <w14:rot w14:lat="0" w14:lon="0" w14:rev="0"/>
            </w14:lightRig>
          </w14:scene3d>
        </w:rPr>
        <w:t>5.6</w:t>
      </w:r>
      <w:r>
        <w:rPr>
          <w:rStyle w:val="10"/>
        </w:rPr>
        <w:t xml:space="preserve"> 材料初审</w:t>
      </w:r>
      <w:r>
        <w:tab/>
      </w:r>
      <w:r>
        <w:fldChar w:fldCharType="begin"/>
      </w:r>
      <w:r>
        <w:instrText xml:space="preserve"> PAGEREF _Toc228868553 \h </w:instrText>
      </w:r>
      <w:r>
        <w:fldChar w:fldCharType="separate"/>
      </w:r>
      <w:r>
        <w:t>3</w:t>
      </w:r>
      <w:r>
        <w:fldChar w:fldCharType="end"/>
      </w:r>
      <w:r>
        <w:fldChar w:fldCharType="end"/>
      </w:r>
    </w:p>
    <w:p w14:paraId="249469E5">
      <w:pPr>
        <w:pStyle w:val="5"/>
        <w:rPr>
          <w:rFonts w:hint="eastAsia" w:asciiTheme="minorHAnsi" w:hAnsiTheme="minorHAnsi" w:eastAsiaTheme="minorEastAsia" w:cstheme="minorBidi"/>
          <w:sz w:val="22"/>
          <w:szCs w:val="24"/>
          <w14:ligatures w14:val="standardContextual"/>
        </w:rPr>
      </w:pPr>
      <w:r>
        <w:fldChar w:fldCharType="begin"/>
      </w:r>
      <w:r>
        <w:instrText xml:space="preserve"> HYPERLINK \l "_Toc228868554" </w:instrText>
      </w:r>
      <w:r>
        <w:fldChar w:fldCharType="separate"/>
      </w:r>
      <w:r>
        <w:rPr>
          <w:rStyle w:val="10"/>
          <w:kern w:val="0"/>
          <w14:scene3d>
            <w14:lightRig w14:rig="threePt" w14:dir="t">
              <w14:rot w14:lat="0" w14:lon="0" w14:rev="0"/>
            </w14:lightRig>
          </w14:scene3d>
        </w:rPr>
        <w:t>5.7</w:t>
      </w:r>
      <w:r>
        <w:rPr>
          <w:rStyle w:val="10"/>
        </w:rPr>
        <w:t xml:space="preserve"> 现场评审</w:t>
      </w:r>
      <w:r>
        <w:tab/>
      </w:r>
      <w:r>
        <w:fldChar w:fldCharType="begin"/>
      </w:r>
      <w:r>
        <w:instrText xml:space="preserve"> PAGEREF _Toc228868554 \h </w:instrText>
      </w:r>
      <w:r>
        <w:fldChar w:fldCharType="separate"/>
      </w:r>
      <w:r>
        <w:t>3</w:t>
      </w:r>
      <w:r>
        <w:fldChar w:fldCharType="end"/>
      </w:r>
      <w:r>
        <w:fldChar w:fldCharType="end"/>
      </w:r>
    </w:p>
    <w:p w14:paraId="6CAF4829">
      <w:pPr>
        <w:pStyle w:val="5"/>
        <w:rPr>
          <w:rFonts w:hint="eastAsia" w:asciiTheme="minorHAnsi" w:hAnsiTheme="minorHAnsi" w:eastAsiaTheme="minorEastAsia" w:cstheme="minorBidi"/>
          <w:sz w:val="22"/>
          <w:szCs w:val="24"/>
          <w14:ligatures w14:val="standardContextual"/>
        </w:rPr>
      </w:pPr>
      <w:r>
        <w:fldChar w:fldCharType="begin"/>
      </w:r>
      <w:r>
        <w:instrText xml:space="preserve"> HYPERLINK \l "_Toc228868555" </w:instrText>
      </w:r>
      <w:r>
        <w:fldChar w:fldCharType="separate"/>
      </w:r>
      <w:r>
        <w:rPr>
          <w:rStyle w:val="10"/>
          <w:kern w:val="0"/>
          <w14:scene3d>
            <w14:lightRig w14:rig="threePt" w14:dir="t">
              <w14:rot w14:lat="0" w14:lon="0" w14:rev="0"/>
            </w14:lightRig>
          </w14:scene3d>
        </w:rPr>
        <w:t>5.8</w:t>
      </w:r>
      <w:r>
        <w:rPr>
          <w:rStyle w:val="10"/>
        </w:rPr>
        <w:t xml:space="preserve"> 公布结果</w:t>
      </w:r>
      <w:r>
        <w:tab/>
      </w:r>
      <w:r>
        <w:fldChar w:fldCharType="begin"/>
      </w:r>
      <w:r>
        <w:instrText xml:space="preserve"> PAGEREF _Toc228868555 \h </w:instrText>
      </w:r>
      <w:r>
        <w:fldChar w:fldCharType="separate"/>
      </w:r>
      <w:r>
        <w:t>3</w:t>
      </w:r>
      <w:r>
        <w:fldChar w:fldCharType="end"/>
      </w:r>
      <w:r>
        <w:fldChar w:fldCharType="end"/>
      </w:r>
    </w:p>
    <w:p w14:paraId="1B704229">
      <w:pPr>
        <w:pStyle w:val="5"/>
        <w:rPr>
          <w:rFonts w:hint="eastAsia" w:asciiTheme="minorHAnsi" w:hAnsiTheme="minorHAnsi" w:eastAsiaTheme="minorEastAsia" w:cstheme="minorBidi"/>
          <w:sz w:val="22"/>
          <w:szCs w:val="24"/>
          <w14:ligatures w14:val="standardContextual"/>
        </w:rPr>
      </w:pPr>
      <w:r>
        <w:fldChar w:fldCharType="begin"/>
      </w:r>
      <w:r>
        <w:instrText xml:space="preserve"> HYPERLINK \l "_Toc228868556" </w:instrText>
      </w:r>
      <w:r>
        <w:fldChar w:fldCharType="separate"/>
      </w:r>
      <w:r>
        <w:rPr>
          <w:rStyle w:val="10"/>
          <w:kern w:val="0"/>
          <w14:scene3d>
            <w14:lightRig w14:rig="threePt" w14:dir="t">
              <w14:rot w14:lat="0" w14:lon="0" w14:rev="0"/>
            </w14:lightRig>
          </w14:scene3d>
        </w:rPr>
        <w:t>5.9</w:t>
      </w:r>
      <w:r>
        <w:rPr>
          <w:rStyle w:val="10"/>
        </w:rPr>
        <w:t xml:space="preserve"> 应用价值</w:t>
      </w:r>
      <w:r>
        <w:tab/>
      </w:r>
      <w:r>
        <w:fldChar w:fldCharType="begin"/>
      </w:r>
      <w:r>
        <w:instrText xml:space="preserve"> PAGEREF _Toc228868556 \h </w:instrText>
      </w:r>
      <w:r>
        <w:fldChar w:fldCharType="separate"/>
      </w:r>
      <w:r>
        <w:t>3</w:t>
      </w:r>
      <w:r>
        <w:fldChar w:fldCharType="end"/>
      </w:r>
      <w:r>
        <w:fldChar w:fldCharType="end"/>
      </w:r>
    </w:p>
    <w:p w14:paraId="3CA6DCB6">
      <w:pPr>
        <w:pStyle w:val="4"/>
        <w:rPr>
          <w:rFonts w:hint="eastAsia" w:asciiTheme="minorHAnsi" w:hAnsiTheme="minorHAnsi" w:eastAsiaTheme="minorEastAsia" w:cstheme="minorBidi"/>
          <w:sz w:val="22"/>
          <w:szCs w:val="24"/>
          <w14:ligatures w14:val="standardContextual"/>
        </w:rPr>
      </w:pPr>
      <w:r>
        <w:fldChar w:fldCharType="begin"/>
      </w:r>
      <w:r>
        <w:instrText xml:space="preserve"> HYPERLINK \l "_Toc228868557" </w:instrText>
      </w:r>
      <w:r>
        <w:fldChar w:fldCharType="separate"/>
      </w:r>
      <w:r>
        <w:rPr>
          <w:rStyle w:val="10"/>
        </w:rPr>
        <w:t>6 评价指标</w:t>
      </w:r>
      <w:r>
        <w:tab/>
      </w:r>
      <w:r>
        <w:fldChar w:fldCharType="begin"/>
      </w:r>
      <w:r>
        <w:instrText xml:space="preserve"> PAGEREF _Toc228868557 \h </w:instrText>
      </w:r>
      <w:r>
        <w:fldChar w:fldCharType="separate"/>
      </w:r>
      <w:r>
        <w:t>3</w:t>
      </w:r>
      <w:r>
        <w:fldChar w:fldCharType="end"/>
      </w:r>
      <w:r>
        <w:fldChar w:fldCharType="end"/>
      </w:r>
    </w:p>
    <w:p w14:paraId="686E0656">
      <w:pPr>
        <w:pStyle w:val="5"/>
        <w:rPr>
          <w:rFonts w:hint="eastAsia" w:asciiTheme="minorHAnsi" w:hAnsiTheme="minorHAnsi" w:eastAsiaTheme="minorEastAsia" w:cstheme="minorBidi"/>
          <w:sz w:val="22"/>
          <w:szCs w:val="24"/>
          <w14:ligatures w14:val="standardContextual"/>
        </w:rPr>
      </w:pPr>
      <w:r>
        <w:fldChar w:fldCharType="begin"/>
      </w:r>
      <w:r>
        <w:instrText xml:space="preserve"> HYPERLINK \l "_Toc228868558" </w:instrText>
      </w:r>
      <w:r>
        <w:fldChar w:fldCharType="separate"/>
      </w:r>
      <w:r>
        <w:rPr>
          <w:rStyle w:val="10"/>
          <w:kern w:val="0"/>
          <w14:scene3d>
            <w14:lightRig w14:rig="threePt" w14:dir="t">
              <w14:rot w14:lat="0" w14:lon="0" w14:rev="0"/>
            </w14:lightRig>
          </w14:scene3d>
        </w:rPr>
        <w:t>6.1</w:t>
      </w:r>
      <w:r>
        <w:rPr>
          <w:rStyle w:val="10"/>
        </w:rPr>
        <w:t xml:space="preserve"> 指标设置</w:t>
      </w:r>
      <w:r>
        <w:tab/>
      </w:r>
      <w:r>
        <w:fldChar w:fldCharType="begin"/>
      </w:r>
      <w:r>
        <w:instrText xml:space="preserve"> PAGEREF _Toc228868558 \h </w:instrText>
      </w:r>
      <w:r>
        <w:fldChar w:fldCharType="separate"/>
      </w:r>
      <w:r>
        <w:t>3</w:t>
      </w:r>
      <w:r>
        <w:fldChar w:fldCharType="end"/>
      </w:r>
      <w:r>
        <w:fldChar w:fldCharType="end"/>
      </w:r>
    </w:p>
    <w:p w14:paraId="5FF5F160">
      <w:pPr>
        <w:pStyle w:val="5"/>
        <w:rPr>
          <w:rFonts w:hint="eastAsia" w:asciiTheme="minorHAnsi" w:hAnsiTheme="minorHAnsi" w:eastAsiaTheme="minorEastAsia" w:cstheme="minorBidi"/>
          <w:sz w:val="22"/>
          <w:szCs w:val="24"/>
          <w14:ligatures w14:val="standardContextual"/>
        </w:rPr>
      </w:pPr>
      <w:r>
        <w:fldChar w:fldCharType="begin"/>
      </w:r>
      <w:r>
        <w:instrText xml:space="preserve"> HYPERLINK \l "_Toc228868559" </w:instrText>
      </w:r>
      <w:r>
        <w:fldChar w:fldCharType="separate"/>
      </w:r>
      <w:r>
        <w:rPr>
          <w:rStyle w:val="10"/>
          <w:kern w:val="0"/>
          <w14:scene3d>
            <w14:lightRig w14:rig="threePt" w14:dir="t">
              <w14:rot w14:lat="0" w14:lon="0" w14:rev="0"/>
            </w14:lightRig>
          </w14:scene3d>
        </w:rPr>
        <w:t>6.2</w:t>
      </w:r>
      <w:r>
        <w:rPr>
          <w:rStyle w:val="10"/>
        </w:rPr>
        <w:t xml:space="preserve"> 指标体系</w:t>
      </w:r>
      <w:r>
        <w:tab/>
      </w:r>
      <w:r>
        <w:fldChar w:fldCharType="begin"/>
      </w:r>
      <w:r>
        <w:instrText xml:space="preserve"> PAGEREF _Toc228868559 \h </w:instrText>
      </w:r>
      <w:r>
        <w:fldChar w:fldCharType="separate"/>
      </w:r>
      <w:r>
        <w:t>4</w:t>
      </w:r>
      <w:r>
        <w:fldChar w:fldCharType="end"/>
      </w:r>
      <w:r>
        <w:fldChar w:fldCharType="end"/>
      </w:r>
    </w:p>
    <w:p w14:paraId="7939CB6F">
      <w:pPr>
        <w:pStyle w:val="5"/>
        <w:tabs>
          <w:tab w:val="left" w:pos="1049"/>
        </w:tabs>
        <w:rPr>
          <w:rFonts w:hint="eastAsia" w:asciiTheme="minorHAnsi" w:hAnsiTheme="minorHAnsi" w:eastAsiaTheme="minorEastAsia" w:cstheme="minorBidi"/>
          <w:sz w:val="22"/>
          <w:szCs w:val="24"/>
          <w14:ligatures w14:val="standardContextual"/>
        </w:rPr>
      </w:pPr>
      <w:r>
        <w:fldChar w:fldCharType="begin"/>
      </w:r>
      <w:r>
        <w:instrText xml:space="preserve"> HYPERLINK \l "_Toc228868560" </w:instrText>
      </w:r>
      <w:r>
        <w:fldChar w:fldCharType="separate"/>
      </w:r>
      <w:r>
        <w:rPr>
          <w:rStyle w:val="10"/>
        </w:rPr>
        <w:t>6.2.1</w:t>
      </w:r>
      <w:r>
        <w:rPr>
          <w:rFonts w:asciiTheme="minorHAnsi" w:hAnsiTheme="minorHAnsi" w:eastAsiaTheme="minorEastAsia" w:cstheme="minorBidi"/>
          <w:sz w:val="22"/>
          <w:szCs w:val="24"/>
          <w14:ligatures w14:val="standardContextual"/>
        </w:rPr>
        <w:tab/>
      </w:r>
      <w:r>
        <w:rPr>
          <w:rStyle w:val="10"/>
        </w:rPr>
        <w:t>品牌乡村（行政村、乡镇）评价指标体系架构图</w:t>
      </w:r>
      <w:r>
        <w:tab/>
      </w:r>
      <w:r>
        <w:fldChar w:fldCharType="begin"/>
      </w:r>
      <w:r>
        <w:instrText xml:space="preserve"> PAGEREF _Toc228868560 \h </w:instrText>
      </w:r>
      <w:r>
        <w:fldChar w:fldCharType="separate"/>
      </w:r>
      <w:r>
        <w:t>4</w:t>
      </w:r>
      <w:r>
        <w:fldChar w:fldCharType="end"/>
      </w:r>
      <w:r>
        <w:fldChar w:fldCharType="end"/>
      </w:r>
    </w:p>
    <w:p w14:paraId="393E602E">
      <w:pPr>
        <w:pStyle w:val="5"/>
        <w:tabs>
          <w:tab w:val="left" w:pos="1049"/>
        </w:tabs>
        <w:rPr>
          <w:rFonts w:hint="eastAsia" w:asciiTheme="minorHAnsi" w:hAnsiTheme="minorHAnsi" w:eastAsiaTheme="minorEastAsia" w:cstheme="minorBidi"/>
          <w:sz w:val="22"/>
          <w:szCs w:val="24"/>
          <w14:ligatures w14:val="standardContextual"/>
        </w:rPr>
      </w:pPr>
      <w:r>
        <w:fldChar w:fldCharType="begin"/>
      </w:r>
      <w:r>
        <w:instrText xml:space="preserve"> HYPERLINK \l "_Toc228868561" </w:instrText>
      </w:r>
      <w:r>
        <w:fldChar w:fldCharType="separate"/>
      </w:r>
      <w:r>
        <w:rPr>
          <w:rStyle w:val="10"/>
        </w:rPr>
        <w:t>6.2.2</w:t>
      </w:r>
      <w:r>
        <w:rPr>
          <w:rFonts w:asciiTheme="minorHAnsi" w:hAnsiTheme="minorHAnsi" w:eastAsiaTheme="minorEastAsia" w:cstheme="minorBidi"/>
          <w:sz w:val="22"/>
          <w:szCs w:val="24"/>
          <w14:ligatures w14:val="standardContextual"/>
        </w:rPr>
        <w:tab/>
      </w:r>
      <w:r>
        <w:rPr>
          <w:rStyle w:val="10"/>
        </w:rPr>
        <w:t>品牌乡村（片区组团）评价指标体系架构图</w:t>
      </w:r>
      <w:r>
        <w:tab/>
      </w:r>
      <w:r>
        <w:fldChar w:fldCharType="begin"/>
      </w:r>
      <w:r>
        <w:instrText xml:space="preserve"> PAGEREF _Toc228868561 \h </w:instrText>
      </w:r>
      <w:r>
        <w:fldChar w:fldCharType="separate"/>
      </w:r>
      <w:r>
        <w:t>4</w:t>
      </w:r>
      <w:r>
        <w:fldChar w:fldCharType="end"/>
      </w:r>
      <w:r>
        <w:fldChar w:fldCharType="end"/>
      </w:r>
    </w:p>
    <w:p w14:paraId="28FC8C1F">
      <w:pPr>
        <w:pStyle w:val="5"/>
        <w:rPr>
          <w:rFonts w:hint="eastAsia" w:asciiTheme="minorHAnsi" w:hAnsiTheme="minorHAnsi" w:eastAsiaTheme="minorEastAsia" w:cstheme="minorBidi"/>
          <w:sz w:val="22"/>
          <w:szCs w:val="24"/>
          <w14:ligatures w14:val="standardContextual"/>
        </w:rPr>
      </w:pPr>
      <w:r>
        <w:fldChar w:fldCharType="begin"/>
      </w:r>
      <w:r>
        <w:instrText xml:space="preserve"> HYPERLINK \l "_Toc228868562" </w:instrText>
      </w:r>
      <w:r>
        <w:fldChar w:fldCharType="separate"/>
      </w:r>
      <w:r>
        <w:rPr>
          <w:rStyle w:val="10"/>
          <w:kern w:val="0"/>
          <w14:scene3d>
            <w14:lightRig w14:rig="threePt" w14:dir="t">
              <w14:rot w14:lat="0" w14:lon="0" w14:rev="0"/>
            </w14:lightRig>
          </w14:scene3d>
        </w:rPr>
        <w:t>6.3</w:t>
      </w:r>
      <w:r>
        <w:rPr>
          <w:rStyle w:val="10"/>
        </w:rPr>
        <w:t xml:space="preserve"> 指标说明</w:t>
      </w:r>
      <w:r>
        <w:tab/>
      </w:r>
      <w:r>
        <w:fldChar w:fldCharType="begin"/>
      </w:r>
      <w:r>
        <w:instrText xml:space="preserve"> PAGEREF _Toc228868562 \h </w:instrText>
      </w:r>
      <w:r>
        <w:fldChar w:fldCharType="separate"/>
      </w:r>
      <w:r>
        <w:t>4</w:t>
      </w:r>
      <w:r>
        <w:fldChar w:fldCharType="end"/>
      </w:r>
      <w:r>
        <w:fldChar w:fldCharType="end"/>
      </w:r>
    </w:p>
    <w:p w14:paraId="7B9838B5">
      <w:pPr>
        <w:pStyle w:val="5"/>
        <w:rPr>
          <w:rFonts w:hint="eastAsia" w:asciiTheme="minorHAnsi" w:hAnsiTheme="minorHAnsi" w:eastAsiaTheme="minorEastAsia" w:cstheme="minorBidi"/>
          <w:sz w:val="22"/>
          <w:szCs w:val="24"/>
          <w14:ligatures w14:val="standardContextual"/>
        </w:rPr>
      </w:pPr>
      <w:r>
        <w:fldChar w:fldCharType="begin"/>
      </w:r>
      <w:r>
        <w:instrText xml:space="preserve"> HYPERLINK \l "_Toc228868563" </w:instrText>
      </w:r>
      <w:r>
        <w:fldChar w:fldCharType="separate"/>
      </w:r>
      <w:r>
        <w:rPr>
          <w:rStyle w:val="10"/>
        </w:rPr>
        <w:t>6.3.1  品牌乡村（行政村、乡镇）评价指标体系说明</w:t>
      </w:r>
      <w:r>
        <w:tab/>
      </w:r>
      <w:r>
        <w:fldChar w:fldCharType="begin"/>
      </w:r>
      <w:r>
        <w:instrText xml:space="preserve"> PAGEREF _Toc228868563 \h </w:instrText>
      </w:r>
      <w:r>
        <w:fldChar w:fldCharType="separate"/>
      </w:r>
      <w:r>
        <w:t>4</w:t>
      </w:r>
      <w:r>
        <w:fldChar w:fldCharType="end"/>
      </w:r>
      <w:r>
        <w:fldChar w:fldCharType="end"/>
      </w:r>
    </w:p>
    <w:p w14:paraId="19C4617B">
      <w:pPr>
        <w:pStyle w:val="5"/>
        <w:rPr>
          <w:rFonts w:hint="eastAsia" w:asciiTheme="minorHAnsi" w:hAnsiTheme="minorHAnsi" w:eastAsiaTheme="minorEastAsia" w:cstheme="minorBidi"/>
          <w:sz w:val="22"/>
          <w:szCs w:val="24"/>
          <w14:ligatures w14:val="standardContextual"/>
        </w:rPr>
      </w:pPr>
      <w:r>
        <w:fldChar w:fldCharType="begin"/>
      </w:r>
      <w:r>
        <w:instrText xml:space="preserve"> HYPERLINK \l "_Toc228868564" </w:instrText>
      </w:r>
      <w:r>
        <w:fldChar w:fldCharType="separate"/>
      </w:r>
      <w:r>
        <w:rPr>
          <w:rStyle w:val="10"/>
        </w:rPr>
        <w:t>6.3.2  品牌乡村（片区组团）评价指标体系说明</w:t>
      </w:r>
      <w:r>
        <w:tab/>
      </w:r>
      <w:r>
        <w:fldChar w:fldCharType="begin"/>
      </w:r>
      <w:r>
        <w:instrText xml:space="preserve"> PAGEREF _Toc228868564 \h </w:instrText>
      </w:r>
      <w:r>
        <w:fldChar w:fldCharType="separate"/>
      </w:r>
      <w:r>
        <w:t>5</w:t>
      </w:r>
      <w:r>
        <w:fldChar w:fldCharType="end"/>
      </w:r>
      <w:r>
        <w:fldChar w:fldCharType="end"/>
      </w:r>
    </w:p>
    <w:p w14:paraId="1DDC6A8D">
      <w:pPr>
        <w:pStyle w:val="5"/>
        <w:rPr>
          <w:rFonts w:hint="eastAsia" w:asciiTheme="minorHAnsi" w:hAnsiTheme="minorHAnsi" w:eastAsiaTheme="minorEastAsia" w:cstheme="minorBidi"/>
          <w:sz w:val="22"/>
          <w:szCs w:val="24"/>
          <w14:ligatures w14:val="standardContextual"/>
        </w:rPr>
      </w:pPr>
      <w:r>
        <w:fldChar w:fldCharType="begin"/>
      </w:r>
      <w:r>
        <w:instrText xml:space="preserve"> HYPERLINK \l "_Toc228868565" </w:instrText>
      </w:r>
      <w:r>
        <w:fldChar w:fldCharType="separate"/>
      </w:r>
      <w:r>
        <w:rPr>
          <w:rStyle w:val="10"/>
          <w:kern w:val="0"/>
          <w14:scene3d>
            <w14:lightRig w14:rig="threePt" w14:dir="t">
              <w14:rot w14:lat="0" w14:lon="0" w14:rev="0"/>
            </w14:lightRig>
          </w14:scene3d>
        </w:rPr>
        <w:t>6.4</w:t>
      </w:r>
      <w:r>
        <w:rPr>
          <w:rStyle w:val="10"/>
        </w:rPr>
        <w:t xml:space="preserve"> 指标分值</w:t>
      </w:r>
      <w:r>
        <w:tab/>
      </w:r>
      <w:r>
        <w:fldChar w:fldCharType="begin"/>
      </w:r>
      <w:r>
        <w:instrText xml:space="preserve"> PAGEREF _Toc228868565 \h </w:instrText>
      </w:r>
      <w:r>
        <w:fldChar w:fldCharType="separate"/>
      </w:r>
      <w:r>
        <w:t>7</w:t>
      </w:r>
      <w:r>
        <w:fldChar w:fldCharType="end"/>
      </w:r>
      <w:r>
        <w:fldChar w:fldCharType="end"/>
      </w:r>
    </w:p>
    <w:p w14:paraId="2BF065E9">
      <w:pPr>
        <w:pStyle w:val="4"/>
        <w:rPr>
          <w:rFonts w:hint="eastAsia" w:asciiTheme="minorHAnsi" w:hAnsiTheme="minorHAnsi" w:eastAsiaTheme="minorEastAsia" w:cstheme="minorBidi"/>
          <w:sz w:val="22"/>
          <w:szCs w:val="24"/>
          <w14:ligatures w14:val="standardContextual"/>
        </w:rPr>
      </w:pPr>
      <w:r>
        <w:fldChar w:fldCharType="begin"/>
      </w:r>
      <w:r>
        <w:instrText xml:space="preserve"> HYPERLINK \l "_Toc228868566" </w:instrText>
      </w:r>
      <w:r>
        <w:fldChar w:fldCharType="separate"/>
      </w:r>
      <w:r>
        <w:rPr>
          <w:rStyle w:val="10"/>
        </w:rPr>
        <w:t>7 评价专家智库</w:t>
      </w:r>
      <w:r>
        <w:tab/>
      </w:r>
      <w:r>
        <w:fldChar w:fldCharType="begin"/>
      </w:r>
      <w:r>
        <w:instrText xml:space="preserve"> PAGEREF _Toc228868566 \h </w:instrText>
      </w:r>
      <w:r>
        <w:fldChar w:fldCharType="separate"/>
      </w:r>
      <w:r>
        <w:t>8</w:t>
      </w:r>
      <w:r>
        <w:fldChar w:fldCharType="end"/>
      </w:r>
      <w:r>
        <w:fldChar w:fldCharType="end"/>
      </w:r>
    </w:p>
    <w:p w14:paraId="40826872">
      <w:pPr>
        <w:pStyle w:val="5"/>
        <w:rPr>
          <w:rFonts w:hint="eastAsia" w:asciiTheme="minorHAnsi" w:hAnsiTheme="minorHAnsi" w:eastAsiaTheme="minorEastAsia" w:cstheme="minorBidi"/>
          <w:sz w:val="22"/>
          <w:szCs w:val="24"/>
          <w14:ligatures w14:val="standardContextual"/>
        </w:rPr>
      </w:pPr>
      <w:r>
        <w:fldChar w:fldCharType="begin"/>
      </w:r>
      <w:r>
        <w:instrText xml:space="preserve"> HYPERLINK \l "_Toc228868567" </w:instrText>
      </w:r>
      <w:r>
        <w:fldChar w:fldCharType="separate"/>
      </w:r>
      <w:r>
        <w:rPr>
          <w:rStyle w:val="10"/>
        </w:rPr>
        <w:t>7.1.1  专家构成</w:t>
      </w:r>
      <w:r>
        <w:tab/>
      </w:r>
      <w:r>
        <w:fldChar w:fldCharType="begin"/>
      </w:r>
      <w:r>
        <w:instrText xml:space="preserve"> PAGEREF _Toc228868567 \h </w:instrText>
      </w:r>
      <w:r>
        <w:fldChar w:fldCharType="separate"/>
      </w:r>
      <w:r>
        <w:t>8</w:t>
      </w:r>
      <w:r>
        <w:fldChar w:fldCharType="end"/>
      </w:r>
      <w:r>
        <w:fldChar w:fldCharType="end"/>
      </w:r>
    </w:p>
    <w:p w14:paraId="65EDBE38">
      <w:pPr>
        <w:pStyle w:val="5"/>
        <w:rPr>
          <w:rFonts w:hint="eastAsia" w:asciiTheme="minorHAnsi" w:hAnsiTheme="minorHAnsi" w:eastAsiaTheme="minorEastAsia" w:cstheme="minorBidi"/>
          <w:sz w:val="22"/>
          <w:szCs w:val="24"/>
          <w14:ligatures w14:val="standardContextual"/>
        </w:rPr>
      </w:pPr>
      <w:r>
        <w:fldChar w:fldCharType="begin"/>
      </w:r>
      <w:r>
        <w:instrText xml:space="preserve"> HYPERLINK \l "_Toc228868568" </w:instrText>
      </w:r>
      <w:r>
        <w:fldChar w:fldCharType="separate"/>
      </w:r>
      <w:r>
        <w:rPr>
          <w:rStyle w:val="10"/>
        </w:rPr>
        <w:t>7.1.2  专家职责</w:t>
      </w:r>
      <w:r>
        <w:tab/>
      </w:r>
      <w:r>
        <w:fldChar w:fldCharType="begin"/>
      </w:r>
      <w:r>
        <w:instrText xml:space="preserve"> PAGEREF _Toc228868568 \h </w:instrText>
      </w:r>
      <w:r>
        <w:fldChar w:fldCharType="separate"/>
      </w:r>
      <w:r>
        <w:t>8</w:t>
      </w:r>
      <w:r>
        <w:fldChar w:fldCharType="end"/>
      </w:r>
      <w:r>
        <w:fldChar w:fldCharType="end"/>
      </w:r>
    </w:p>
    <w:p w14:paraId="6CA75E41">
      <w:pPr>
        <w:pStyle w:val="4"/>
        <w:rPr>
          <w:rFonts w:hint="eastAsia" w:asciiTheme="minorHAnsi" w:hAnsiTheme="minorHAnsi" w:eastAsiaTheme="minorEastAsia" w:cstheme="minorBidi"/>
          <w:sz w:val="22"/>
          <w:szCs w:val="24"/>
          <w14:ligatures w14:val="standardContextual"/>
        </w:rPr>
      </w:pPr>
      <w:r>
        <w:fldChar w:fldCharType="begin"/>
      </w:r>
      <w:r>
        <w:instrText xml:space="preserve"> HYPERLINK \l "_Toc228868569" </w:instrText>
      </w:r>
      <w:r>
        <w:fldChar w:fldCharType="separate"/>
      </w:r>
      <w:r>
        <w:rPr>
          <w:rStyle w:val="10"/>
        </w:rPr>
        <w:t>8 评价结论</w:t>
      </w:r>
      <w:r>
        <w:tab/>
      </w:r>
      <w:r>
        <w:fldChar w:fldCharType="begin"/>
      </w:r>
      <w:r>
        <w:instrText xml:space="preserve"> PAGEREF _Toc228868569 \h </w:instrText>
      </w:r>
      <w:r>
        <w:fldChar w:fldCharType="separate"/>
      </w:r>
      <w:r>
        <w:t>8</w:t>
      </w:r>
      <w:r>
        <w:fldChar w:fldCharType="end"/>
      </w:r>
      <w:r>
        <w:fldChar w:fldCharType="end"/>
      </w:r>
    </w:p>
    <w:p w14:paraId="6BD7E3BD">
      <w:pPr>
        <w:pStyle w:val="4"/>
        <w:rPr>
          <w:rFonts w:hint="eastAsia" w:asciiTheme="minorHAnsi" w:hAnsiTheme="minorHAnsi" w:eastAsiaTheme="minorEastAsia" w:cstheme="minorBidi"/>
          <w:sz w:val="22"/>
          <w:szCs w:val="24"/>
          <w14:ligatures w14:val="standardContextual"/>
        </w:rPr>
      </w:pPr>
      <w:r>
        <w:fldChar w:fldCharType="begin"/>
      </w:r>
      <w:r>
        <w:instrText xml:space="preserve"> HYPERLINK \l "_Toc228868570" </w:instrText>
      </w:r>
      <w:r>
        <w:fldChar w:fldCharType="separate"/>
      </w:r>
      <w:r>
        <w:rPr>
          <w:rStyle w:val="10"/>
          <w:spacing w:val="100"/>
        </w:rPr>
        <w:t>附录A</w:t>
      </w:r>
      <w:r>
        <w:rPr>
          <w:rStyle w:val="10"/>
        </w:rPr>
        <w:t xml:space="preserve"> 品牌乡村评分细则</w:t>
      </w:r>
      <w:r>
        <w:tab/>
      </w:r>
      <w:r>
        <w:fldChar w:fldCharType="begin"/>
      </w:r>
      <w:r>
        <w:instrText xml:space="preserve"> PAGEREF _Toc228868570 \h </w:instrText>
      </w:r>
      <w:r>
        <w:fldChar w:fldCharType="separate"/>
      </w:r>
      <w:r>
        <w:t>9</w:t>
      </w:r>
      <w:r>
        <w:fldChar w:fldCharType="end"/>
      </w:r>
      <w:r>
        <w:fldChar w:fldCharType="end"/>
      </w:r>
    </w:p>
    <w:p w14:paraId="5448BABA">
      <w:pPr>
        <w:pStyle w:val="5"/>
        <w:rPr>
          <w:rFonts w:hint="eastAsia" w:asciiTheme="minorHAnsi" w:hAnsiTheme="minorHAnsi" w:eastAsiaTheme="minorEastAsia" w:cstheme="minorBidi"/>
          <w:sz w:val="22"/>
          <w:szCs w:val="24"/>
          <w14:ligatures w14:val="standardContextual"/>
        </w:rPr>
      </w:pPr>
      <w:r>
        <w:fldChar w:fldCharType="begin"/>
      </w:r>
      <w:r>
        <w:instrText xml:space="preserve"> HYPERLINK \l "_Toc228868571" </w:instrText>
      </w:r>
      <w:r>
        <w:fldChar w:fldCharType="separate"/>
      </w:r>
      <w:r>
        <w:rPr>
          <w:rStyle w:val="10"/>
          <w:rFonts w:hAnsi="黑体" w:cs="黑体"/>
        </w:rPr>
        <w:t>A.1品牌乡村（行政村、乡镇）评价指标与评分细则</w:t>
      </w:r>
      <w:r>
        <w:tab/>
      </w:r>
      <w:r>
        <w:fldChar w:fldCharType="begin"/>
      </w:r>
      <w:r>
        <w:instrText xml:space="preserve"> PAGEREF _Toc228868571 \h </w:instrText>
      </w:r>
      <w:r>
        <w:fldChar w:fldCharType="separate"/>
      </w:r>
      <w:r>
        <w:t>9</w:t>
      </w:r>
      <w:r>
        <w:fldChar w:fldCharType="end"/>
      </w:r>
      <w:r>
        <w:fldChar w:fldCharType="end"/>
      </w:r>
    </w:p>
    <w:p w14:paraId="05304F29">
      <w:pPr>
        <w:pStyle w:val="5"/>
        <w:rPr>
          <w:rFonts w:hint="eastAsia" w:asciiTheme="minorHAnsi" w:hAnsiTheme="minorHAnsi" w:eastAsiaTheme="minorEastAsia" w:cstheme="minorBidi"/>
          <w:sz w:val="22"/>
          <w:szCs w:val="24"/>
          <w14:ligatures w14:val="standardContextual"/>
        </w:rPr>
      </w:pPr>
      <w:r>
        <w:fldChar w:fldCharType="begin"/>
      </w:r>
      <w:r>
        <w:instrText xml:space="preserve"> HYPERLINK \l "_Toc228868572" </w:instrText>
      </w:r>
      <w:r>
        <w:fldChar w:fldCharType="separate"/>
      </w:r>
      <w:r>
        <w:rPr>
          <w:rStyle w:val="10"/>
          <w:rFonts w:hAnsi="黑体" w:cs="黑体"/>
        </w:rPr>
        <w:t>A.2品牌乡村（片区组团）评价指标与评分细则</w:t>
      </w:r>
      <w:r>
        <w:tab/>
      </w:r>
      <w:r>
        <w:fldChar w:fldCharType="begin"/>
      </w:r>
      <w:r>
        <w:instrText xml:space="preserve"> PAGEREF _Toc228868572 \h </w:instrText>
      </w:r>
      <w:r>
        <w:fldChar w:fldCharType="separate"/>
      </w:r>
      <w:r>
        <w:t>11</w:t>
      </w:r>
      <w:r>
        <w:fldChar w:fldCharType="end"/>
      </w:r>
      <w:r>
        <w:fldChar w:fldCharType="end"/>
      </w:r>
    </w:p>
    <w:p w14:paraId="2959865A">
      <w:pPr>
        <w:pStyle w:val="4"/>
        <w:rPr>
          <w:rFonts w:hint="eastAsia" w:asciiTheme="minorHAnsi" w:hAnsiTheme="minorHAnsi" w:eastAsiaTheme="minorEastAsia" w:cstheme="minorBidi"/>
          <w:sz w:val="22"/>
          <w:szCs w:val="24"/>
          <w14:ligatures w14:val="standardContextual"/>
        </w:rPr>
      </w:pPr>
      <w:r>
        <w:fldChar w:fldCharType="begin"/>
      </w:r>
      <w:r>
        <w:instrText xml:space="preserve"> HYPERLINK \l "_Toc228868573" </w:instrText>
      </w:r>
      <w:r>
        <w:fldChar w:fldCharType="separate"/>
      </w:r>
      <w:r>
        <w:rPr>
          <w:rStyle w:val="10"/>
          <w:spacing w:val="100"/>
        </w:rPr>
        <w:t>附录B</w:t>
      </w:r>
      <w:r>
        <w:rPr>
          <w:rStyle w:val="10"/>
        </w:rPr>
        <w:t xml:space="preserve"> 品牌乡村评价结论表</w:t>
      </w:r>
      <w:r>
        <w:tab/>
      </w:r>
      <w:r>
        <w:fldChar w:fldCharType="begin"/>
      </w:r>
      <w:r>
        <w:instrText xml:space="preserve"> PAGEREF _Toc228868573 \h </w:instrText>
      </w:r>
      <w:r>
        <w:fldChar w:fldCharType="separate"/>
      </w:r>
      <w:r>
        <w:t>16</w:t>
      </w:r>
      <w:r>
        <w:fldChar w:fldCharType="end"/>
      </w:r>
      <w:r>
        <w:fldChar w:fldCharType="end"/>
      </w:r>
    </w:p>
    <w:p w14:paraId="6A83F5D9">
      <w:pPr>
        <w:pStyle w:val="4"/>
        <w:rPr>
          <w:rFonts w:hint="eastAsia" w:asciiTheme="minorHAnsi" w:hAnsiTheme="minorHAnsi" w:eastAsiaTheme="minorEastAsia" w:cstheme="minorBidi"/>
          <w:sz w:val="22"/>
          <w:szCs w:val="24"/>
          <w14:ligatures w14:val="standardContextual"/>
        </w:rPr>
      </w:pPr>
      <w:r>
        <w:fldChar w:fldCharType="begin"/>
      </w:r>
      <w:r>
        <w:instrText xml:space="preserve"> HYPERLINK \l "_Toc228868574" </w:instrText>
      </w:r>
      <w:r>
        <w:fldChar w:fldCharType="separate"/>
      </w:r>
      <w:r>
        <w:rPr>
          <w:rStyle w:val="10"/>
          <w:rFonts w:hAnsi="黑体" w:cs="黑体"/>
        </w:rPr>
        <w:t xml:space="preserve">表B  </w:t>
      </w:r>
      <w:r>
        <w:rPr>
          <w:rStyle w:val="10"/>
        </w:rPr>
        <w:t>品牌乡村评价结论表</w:t>
      </w:r>
      <w:r>
        <w:tab/>
      </w:r>
      <w:r>
        <w:fldChar w:fldCharType="begin"/>
      </w:r>
      <w:r>
        <w:instrText xml:space="preserve"> PAGEREF _Toc228868574 \h </w:instrText>
      </w:r>
      <w:r>
        <w:fldChar w:fldCharType="separate"/>
      </w:r>
      <w:r>
        <w:t>16</w:t>
      </w:r>
      <w:r>
        <w:fldChar w:fldCharType="end"/>
      </w:r>
      <w:r>
        <w:fldChar w:fldCharType="end"/>
      </w:r>
    </w:p>
    <w:p w14:paraId="637B66CA">
      <w:pPr>
        <w:pStyle w:val="4"/>
        <w:rPr>
          <w:rFonts w:hint="eastAsia" w:asciiTheme="minorHAnsi" w:hAnsiTheme="minorHAnsi" w:eastAsiaTheme="minorEastAsia" w:cstheme="minorBidi"/>
          <w:sz w:val="22"/>
          <w:szCs w:val="24"/>
          <w14:ligatures w14:val="standardContextual"/>
        </w:rPr>
      </w:pPr>
      <w:r>
        <w:fldChar w:fldCharType="begin"/>
      </w:r>
      <w:r>
        <w:instrText xml:space="preserve"> HYPERLINK \l "_Toc228868575" </w:instrText>
      </w:r>
      <w:r>
        <w:fldChar w:fldCharType="separate"/>
      </w:r>
      <w:r>
        <w:rPr>
          <w:rStyle w:val="10"/>
          <w:spacing w:val="105"/>
        </w:rPr>
        <w:t>参考文</w:t>
      </w:r>
      <w:r>
        <w:rPr>
          <w:rStyle w:val="10"/>
        </w:rPr>
        <w:t>献</w:t>
      </w:r>
      <w:r>
        <w:tab/>
      </w:r>
      <w:r>
        <w:fldChar w:fldCharType="begin"/>
      </w:r>
      <w:r>
        <w:instrText xml:space="preserve"> PAGEREF _Toc228868575 \h </w:instrText>
      </w:r>
      <w:r>
        <w:fldChar w:fldCharType="separate"/>
      </w:r>
      <w:r>
        <w:t>17</w:t>
      </w:r>
      <w:r>
        <w:fldChar w:fldCharType="end"/>
      </w:r>
      <w:r>
        <w:fldChar w:fldCharType="end"/>
      </w:r>
    </w:p>
    <w:p w14:paraId="49D5229F">
      <w:pPr>
        <w:pStyle w:val="12"/>
        <w:spacing w:after="360"/>
        <w:sectPr>
          <w:headerReference r:id="rId3" w:type="default"/>
          <w:footerReference r:id="rId5" w:type="default"/>
          <w:headerReference r:id="rId4" w:type="even"/>
          <w:pgSz w:w="11906" w:h="16838"/>
          <w:pgMar w:top="1928" w:right="1134" w:bottom="1134" w:left="1134" w:header="1418" w:footer="1134" w:gutter="284"/>
          <w:pgNumType w:fmt="upperRoman" w:start="1"/>
          <w:cols w:space="425" w:num="1"/>
          <w:formProt w:val="0"/>
          <w:docGrid w:linePitch="312" w:charSpace="0"/>
        </w:sectPr>
      </w:pPr>
      <w:r>
        <w:fldChar w:fldCharType="end"/>
      </w:r>
    </w:p>
    <w:bookmarkEnd w:id="9"/>
    <w:p w14:paraId="109E0CED">
      <w:pPr>
        <w:pStyle w:val="13"/>
        <w:spacing w:after="360"/>
      </w:pPr>
      <w:bookmarkStart w:id="10" w:name="_Toc228868539"/>
      <w:bookmarkStart w:id="11" w:name="BookMark2"/>
      <w:r>
        <w:rPr>
          <w:spacing w:val="320"/>
        </w:rPr>
        <w:t>前</w:t>
      </w:r>
      <w:r>
        <w:t>言</w:t>
      </w:r>
      <w:bookmarkEnd w:id="10"/>
    </w:p>
    <w:p w14:paraId="1A628770">
      <w:pPr>
        <w:pStyle w:val="14"/>
        <w:ind w:firstLine="420"/>
      </w:pPr>
      <w:r>
        <w:rPr>
          <w:rFonts w:hint="eastAsia"/>
        </w:rPr>
        <w:t>本文件按照GB/T 1.1—2020《标准化工作导则  第1部分：标准化文件的结构和起草规则》的规定起草。</w:t>
      </w:r>
    </w:p>
    <w:p w14:paraId="50F29506">
      <w:pPr>
        <w:pStyle w:val="14"/>
        <w:ind w:firstLine="420"/>
      </w:pPr>
      <w:r>
        <w:rPr>
          <w:rFonts w:hint="eastAsia"/>
        </w:rPr>
        <w:t>请注意本文件的某些内容可能涉及专利。本文件的发布机构不承担识别专利的责任。</w:t>
      </w:r>
    </w:p>
    <w:p w14:paraId="054BF002">
      <w:pPr>
        <w:pStyle w:val="14"/>
        <w:ind w:firstLine="420"/>
      </w:pPr>
      <w:r>
        <w:rPr>
          <w:rFonts w:hint="eastAsia"/>
        </w:rPr>
        <w:t>本文件由中国乡村发展协会提出。</w:t>
      </w:r>
    </w:p>
    <w:p w14:paraId="4D43349F">
      <w:pPr>
        <w:pStyle w:val="14"/>
        <w:ind w:firstLine="420"/>
      </w:pPr>
      <w:r>
        <w:rPr>
          <w:rFonts w:hint="eastAsia"/>
        </w:rPr>
        <w:t>本文件由中国乡村发展协会归口。</w:t>
      </w:r>
    </w:p>
    <w:p w14:paraId="2646A4EF">
      <w:pPr>
        <w:pStyle w:val="14"/>
        <w:ind w:firstLine="420"/>
      </w:pPr>
      <w:r>
        <w:rPr>
          <w:rFonts w:hint="eastAsia"/>
        </w:rPr>
        <w:t>本文件起草单位：绍兴市农业农村局、浙江大学CARD中国农业品牌研究中心、浙江省乡村建设促进会、浙江永续农业品牌研究院、浙江千村运营有限公司、浙江芒种品牌管理有限公司、新村潮（北京）文化科技有限公司。</w:t>
      </w:r>
    </w:p>
    <w:p w14:paraId="43984894">
      <w:pPr>
        <w:widowControl/>
        <w:adjustRightInd/>
        <w:spacing w:line="240" w:lineRule="auto"/>
        <w:ind w:firstLine="420" w:firstLineChars="200"/>
        <w:jc w:val="left"/>
        <w:rPr>
          <w:rFonts w:ascii="Helvetica" w:hAnsi="Helvetica" w:cs="宋体"/>
          <w:color w:val="000000"/>
          <w:kern w:val="0"/>
        </w:rPr>
      </w:pPr>
      <w:r>
        <w:rPr>
          <w:rFonts w:hint="eastAsia"/>
        </w:rPr>
        <w:t>本文件主要起草人：吕田、蒋文龙、胡晓云、余荣军、李闯、庄庆超、诸葛振、魏春丽、相国荣、褚文蔚。</w:t>
      </w:r>
    </w:p>
    <w:p w14:paraId="442537FF">
      <w:pPr>
        <w:pStyle w:val="14"/>
        <w:ind w:firstLine="420"/>
        <w:sectPr>
          <w:pgSz w:w="11906" w:h="16838"/>
          <w:pgMar w:top="1928" w:right="1134" w:bottom="1134" w:left="1134" w:header="1418" w:footer="1134" w:gutter="284"/>
          <w:pgNumType w:fmt="upperRoman"/>
          <w:cols w:space="425" w:num="1"/>
          <w:formProt w:val="0"/>
          <w:docGrid w:linePitch="312" w:charSpace="0"/>
        </w:sectPr>
      </w:pPr>
    </w:p>
    <w:bookmarkEnd w:id="11"/>
    <w:p w14:paraId="62E2107E">
      <w:pPr>
        <w:pStyle w:val="13"/>
        <w:numPr>
          <w:ilvl w:val="0"/>
          <w:numId w:val="0"/>
        </w:numPr>
        <w:spacing w:after="360"/>
        <w:ind w:left="425" w:hanging="425"/>
      </w:pPr>
      <w:bookmarkStart w:id="12" w:name="_Toc228868540"/>
      <w:bookmarkStart w:id="13" w:name="BookMark3"/>
      <w:r>
        <w:rPr>
          <w:spacing w:val="320"/>
        </w:rPr>
        <w:t>引</w:t>
      </w:r>
      <w:r>
        <w:t>言</w:t>
      </w:r>
      <w:bookmarkEnd w:id="12"/>
    </w:p>
    <w:p w14:paraId="649C731A">
      <w:pPr>
        <w:pStyle w:val="14"/>
        <w:ind w:firstLine="420"/>
      </w:pPr>
      <w:r>
        <w:t>当前，我国</w:t>
      </w:r>
      <w:r>
        <w:rPr>
          <w:rFonts w:hint="eastAsia"/>
        </w:rPr>
        <w:t>乡村振兴战略日益迈向从“重建设”转向“重经营”的纵深发展阶段，品牌乡村成为新时代城乡融合与乡村高质量发展的重要抓手，是乡村综合竞争力的集中体现，更是乡村经营需要沉淀的核心资产。为破解乡村品牌化经营过程中单个乡村在资源、人才、资金、项目等方面的“少散弱”问题，乡村片区组团品牌化经营成为新的探索方向。《</w:t>
      </w:r>
      <w:r>
        <w:t>中共中央关于制定国民经济和社会发展第十五个五年规划的建议</w:t>
      </w:r>
      <w:r>
        <w:rPr>
          <w:rFonts w:hint="eastAsia"/>
        </w:rPr>
        <w:t>》提出要“分类有序、片区化推进乡村振兴”。</w:t>
      </w:r>
    </w:p>
    <w:p w14:paraId="7983AD16">
      <w:pPr>
        <w:pStyle w:val="14"/>
        <w:ind w:firstLine="420"/>
      </w:pPr>
      <w:r>
        <w:rPr>
          <w:rFonts w:hint="eastAsia"/>
        </w:rPr>
        <w:t>在新的时代背景下，品牌乡村如何通过标准化、规范化建设与经营，激活乡村的多元化价值要素，实现</w:t>
      </w:r>
      <w:r>
        <w:t>产业提质、文化振兴、生态优化</w:t>
      </w:r>
      <w:r>
        <w:rPr>
          <w:rFonts w:hint="eastAsia"/>
        </w:rPr>
        <w:t>、</w:t>
      </w:r>
      <w:r>
        <w:t>治理增效</w:t>
      </w:r>
      <w:r>
        <w:rPr>
          <w:rFonts w:hint="eastAsia"/>
        </w:rPr>
        <w:t>和生活幸福，成为当下亟待回答的时代课题。为回应这一时代命题，科学引导品牌乡村规范化、可持续发展，破解建设同质化、经营低效化、协同分散化等难题，探索乡村品牌化经营的模式和路径，激活乡村要素的市场价值，形成自我造血机制，提高品牌经营水平，实现可持续发展与共同富裕，建立规范的评价体系，特编制本文件。</w:t>
      </w:r>
    </w:p>
    <w:p w14:paraId="39523F55">
      <w:pPr>
        <w:pStyle w:val="14"/>
        <w:ind w:firstLine="420"/>
      </w:pPr>
      <w:r>
        <w:rPr>
          <w:rFonts w:hint="eastAsia"/>
        </w:rPr>
        <w:t>《</w:t>
      </w:r>
      <w:r>
        <w:t>品牌乡村评价规范</w:t>
      </w:r>
      <w:r>
        <w:rPr>
          <w:rFonts w:hint="eastAsia"/>
        </w:rPr>
        <w:t>》</w:t>
      </w:r>
      <w:r>
        <w:t>以习近平新时代中国特色社会主义思想为指导，贯彻落实</w:t>
      </w:r>
      <w:r>
        <w:rPr>
          <w:rFonts w:hint="eastAsia"/>
        </w:rPr>
        <w:t>中共中央国务院关于乡村振兴的相关政策文件精神，以</w:t>
      </w:r>
      <w:r>
        <w:t>助力乡村建设高质量发展为目标，为各地品牌乡村</w:t>
      </w:r>
      <w:r>
        <w:rPr>
          <w:rFonts w:hint="eastAsia"/>
        </w:rPr>
        <w:t>的</w:t>
      </w:r>
      <w:r>
        <w:t>运营管理和成效评价提供相关技术标准。</w:t>
      </w:r>
    </w:p>
    <w:p w14:paraId="7A43702E">
      <w:pPr>
        <w:pStyle w:val="14"/>
        <w:ind w:firstLine="420"/>
      </w:pPr>
      <w:r>
        <w:rPr>
          <w:rFonts w:hint="eastAsia"/>
        </w:rPr>
        <w:t>本文件的实施有利于：</w:t>
      </w:r>
    </w:p>
    <w:p w14:paraId="2ED3C330">
      <w:pPr>
        <w:pStyle w:val="14"/>
        <w:ind w:firstLine="420"/>
      </w:pPr>
      <w:r>
        <w:rPr>
          <w:rFonts w:hint="eastAsia"/>
        </w:rPr>
        <w:t>——构建品牌乡村发展评价指标体系，引导品牌乡村规范发展；</w:t>
      </w:r>
    </w:p>
    <w:p w14:paraId="77254559">
      <w:pPr>
        <w:pStyle w:val="14"/>
        <w:ind w:firstLine="420"/>
      </w:pPr>
      <w:r>
        <w:rPr>
          <w:rFonts w:hint="eastAsia"/>
        </w:rPr>
        <w:t>——构建品牌乡村发展问题诊断清单，激励乡村经营提质增效；</w:t>
      </w:r>
    </w:p>
    <w:p w14:paraId="7FEF63F3">
      <w:pPr>
        <w:pStyle w:val="14"/>
        <w:ind w:firstLine="420"/>
      </w:pPr>
      <w:r>
        <w:rPr>
          <w:rFonts w:hint="eastAsia"/>
        </w:rPr>
        <w:t>——建立等级评价机制，评估经营成效，为政府决策提供参考；</w:t>
      </w:r>
    </w:p>
    <w:p w14:paraId="199E7754">
      <w:pPr>
        <w:pStyle w:val="14"/>
        <w:ind w:firstLine="420"/>
      </w:pPr>
      <w:r>
        <w:rPr>
          <w:rFonts w:hint="eastAsia"/>
        </w:rPr>
        <w:t>——形成乡村品牌声誉，助力招商引资、经济发展与形象传播。</w:t>
      </w:r>
    </w:p>
    <w:p w14:paraId="25D62106">
      <w:pPr>
        <w:pStyle w:val="14"/>
        <w:ind w:firstLine="420"/>
        <w:sectPr>
          <w:pgSz w:w="11906" w:h="16838"/>
          <w:pgMar w:top="1928" w:right="1134" w:bottom="1134" w:left="1134" w:header="1418" w:footer="1134" w:gutter="284"/>
          <w:pgNumType w:fmt="upperRoman"/>
          <w:cols w:space="425" w:num="1"/>
          <w:formProt w:val="0"/>
          <w:docGrid w:linePitch="312" w:charSpace="0"/>
        </w:sectPr>
      </w:pPr>
    </w:p>
    <w:bookmarkEnd w:id="13"/>
    <w:p w14:paraId="22BDAFAF">
      <w:pPr>
        <w:spacing w:line="20" w:lineRule="exact"/>
        <w:jc w:val="center"/>
        <w:rPr>
          <w:rFonts w:hint="eastAsia" w:ascii="黑体" w:hAnsi="黑体" w:eastAsia="黑体"/>
          <w:sz w:val="32"/>
          <w:szCs w:val="32"/>
        </w:rPr>
      </w:pPr>
      <w:bookmarkStart w:id="14" w:name="BookMark4"/>
    </w:p>
    <w:p w14:paraId="62099182">
      <w:pPr>
        <w:spacing w:line="20" w:lineRule="exact"/>
        <w:jc w:val="center"/>
        <w:rPr>
          <w:rFonts w:hint="eastAsia" w:ascii="黑体" w:hAnsi="黑体" w:eastAsia="黑体"/>
          <w:sz w:val="32"/>
          <w:szCs w:val="32"/>
        </w:rPr>
      </w:pPr>
    </w:p>
    <w:sdt>
      <w:sdtPr>
        <w:tag w:val="NEW_STAND_NAME"/>
        <w:id w:val="595910757"/>
        <w:lock w:val="sdtLocked"/>
        <w:placeholder>
          <w:docPart w:val="{b15300bb-21f4-4abb-9804-310ceaaa73fb}"/>
        </w:placeholder>
      </w:sdtPr>
      <w:sdtContent>
        <w:p w14:paraId="24200643">
          <w:pPr>
            <w:pStyle w:val="15"/>
            <w:rPr>
              <w:rFonts w:hint="eastAsia"/>
            </w:rPr>
          </w:pPr>
          <w:bookmarkStart w:id="15" w:name="NEW_STAND_NAME"/>
          <w:r>
            <w:rPr>
              <w:rFonts w:hint="eastAsia"/>
            </w:rPr>
            <w:t>品牌乡村建设评价规范</w:t>
          </w:r>
        </w:p>
      </w:sdtContent>
    </w:sdt>
    <w:bookmarkEnd w:id="15"/>
    <w:p w14:paraId="7B9D109A">
      <w:pPr>
        <w:pStyle w:val="16"/>
        <w:spacing w:before="240" w:after="240"/>
      </w:pPr>
      <w:bookmarkStart w:id="16" w:name="_Toc26648465"/>
      <w:bookmarkStart w:id="17" w:name="_Toc97192964"/>
      <w:bookmarkStart w:id="18" w:name="_Toc24884218"/>
      <w:bookmarkStart w:id="19" w:name="_Toc26718930"/>
      <w:bookmarkStart w:id="20" w:name="_Toc26986771"/>
      <w:bookmarkStart w:id="21" w:name="_Toc17233333"/>
      <w:bookmarkStart w:id="22" w:name="_Toc228868541"/>
      <w:bookmarkStart w:id="23" w:name="_Toc17233325"/>
      <w:bookmarkStart w:id="24" w:name="_Toc26986530"/>
      <w:bookmarkStart w:id="25" w:name="_Toc24884211"/>
      <w:r>
        <w:rPr>
          <w:rFonts w:hint="eastAsia"/>
        </w:rPr>
        <w:t>范围</w:t>
      </w:r>
      <w:bookmarkEnd w:id="16"/>
      <w:bookmarkEnd w:id="17"/>
      <w:bookmarkEnd w:id="18"/>
      <w:bookmarkEnd w:id="19"/>
      <w:bookmarkEnd w:id="20"/>
      <w:bookmarkEnd w:id="21"/>
      <w:bookmarkEnd w:id="22"/>
      <w:bookmarkEnd w:id="23"/>
      <w:bookmarkEnd w:id="24"/>
      <w:bookmarkEnd w:id="25"/>
    </w:p>
    <w:p w14:paraId="5392E319">
      <w:pPr>
        <w:pStyle w:val="14"/>
        <w:ind w:firstLine="420"/>
      </w:pPr>
      <w:bookmarkStart w:id="26" w:name="_Toc17233334"/>
      <w:bookmarkStart w:id="27" w:name="_Toc17233326"/>
      <w:bookmarkStart w:id="28" w:name="_Toc24884219"/>
      <w:bookmarkStart w:id="29" w:name="_Toc26648466"/>
      <w:bookmarkStart w:id="30" w:name="_Toc24884212"/>
      <w:r>
        <w:rPr>
          <w:rFonts w:hint="eastAsia"/>
        </w:rPr>
        <w:t>本文件规定了品牌乡村评价活动中的相关术语和定义、指导思想和原则，对品牌乡村评价工作流程、评价指标、评价人员、评价结论等进行了规范。</w:t>
      </w:r>
    </w:p>
    <w:p w14:paraId="451F195D">
      <w:pPr>
        <w:pStyle w:val="14"/>
        <w:ind w:firstLine="420"/>
      </w:pPr>
      <w:r>
        <w:rPr>
          <w:rFonts w:hint="eastAsia"/>
        </w:rPr>
        <w:t>本文件适用于我国品牌乡村（行政村、乡村片区组团、乡镇）的建设、经营、管理与评价。</w:t>
      </w:r>
    </w:p>
    <w:p w14:paraId="551CD21C">
      <w:pPr>
        <w:pStyle w:val="16"/>
        <w:spacing w:before="240" w:after="240"/>
      </w:pPr>
      <w:bookmarkStart w:id="31" w:name="_Toc26986772"/>
      <w:bookmarkStart w:id="32" w:name="_Toc228868542"/>
      <w:bookmarkStart w:id="33" w:name="_Toc26986531"/>
      <w:bookmarkStart w:id="34" w:name="_Toc97192965"/>
      <w:bookmarkStart w:id="35" w:name="_Toc26718931"/>
      <w:r>
        <w:rPr>
          <w:rFonts w:hint="eastAsia"/>
        </w:rPr>
        <w:t>规范性引用文件</w:t>
      </w:r>
      <w:bookmarkEnd w:id="26"/>
      <w:bookmarkEnd w:id="27"/>
      <w:bookmarkEnd w:id="28"/>
      <w:bookmarkEnd w:id="29"/>
      <w:bookmarkEnd w:id="30"/>
      <w:bookmarkEnd w:id="31"/>
      <w:bookmarkEnd w:id="32"/>
      <w:bookmarkEnd w:id="33"/>
      <w:bookmarkEnd w:id="34"/>
      <w:bookmarkEnd w:id="35"/>
    </w:p>
    <w:sdt>
      <w:sdtPr>
        <w:rPr>
          <w:rFonts w:hint="eastAsia"/>
        </w:rPr>
        <w:id w:val="715848253"/>
        <w:placeholder>
          <w:docPart w:val="{0341af29-79ec-449d-b1a0-aef2cde5344d}"/>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4DB56765">
          <w:pPr>
            <w:pStyle w:val="14"/>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434C64C2">
      <w:pPr>
        <w:pStyle w:val="14"/>
        <w:ind w:firstLine="420"/>
      </w:pPr>
      <w:r>
        <w:rPr>
          <w:rFonts w:hint="eastAsia"/>
        </w:rPr>
        <w:t>GB/T 29187-2012</w:t>
      </w:r>
      <w:r>
        <w:t xml:space="preserve">  </w:t>
      </w:r>
      <w:r>
        <w:rPr>
          <w:rFonts w:hint="eastAsia"/>
        </w:rPr>
        <w:t xml:space="preserve"> 品牌评价 品牌价值评价要求</w:t>
      </w:r>
    </w:p>
    <w:p w14:paraId="2AD9D67B">
      <w:pPr>
        <w:pStyle w:val="14"/>
        <w:ind w:firstLine="420"/>
      </w:pPr>
      <w:r>
        <w:rPr>
          <w:rFonts w:hint="eastAsia"/>
        </w:rPr>
        <w:t>GB/T 31045-2025   品牌价值评价 农产品</w:t>
      </w:r>
    </w:p>
    <w:p w14:paraId="7EA30546">
      <w:pPr>
        <w:pStyle w:val="14"/>
        <w:ind w:firstLine="420"/>
      </w:pPr>
      <w:r>
        <w:rPr>
          <w:rFonts w:hint="eastAsia"/>
        </w:rPr>
        <w:t>GB/T 46691-2025   品牌评价  实施与报告</w:t>
      </w:r>
    </w:p>
    <w:p w14:paraId="0A55BAA9">
      <w:pPr>
        <w:pStyle w:val="14"/>
        <w:ind w:firstLine="420"/>
      </w:pPr>
      <w:r>
        <w:t>GB/T</w:t>
      </w:r>
      <w:r>
        <w:rPr>
          <w:rFonts w:hint="eastAsia"/>
        </w:rPr>
        <w:t xml:space="preserve"> </w:t>
      </w:r>
      <w:r>
        <w:t>10001.2</w:t>
      </w:r>
      <w:r>
        <w:rPr>
          <w:rFonts w:hint="eastAsia"/>
        </w:rPr>
        <w:t xml:space="preserve">-2021 </w:t>
      </w:r>
      <w:r>
        <w:t>公共信息图形符号</w:t>
      </w:r>
      <w:r>
        <w:rPr>
          <w:rFonts w:hint="eastAsia"/>
        </w:rPr>
        <w:t xml:space="preserve"> </w:t>
      </w:r>
      <w:r>
        <w:t>第2部分：旅游休闲符号</w:t>
      </w:r>
    </w:p>
    <w:p w14:paraId="7984BB71">
      <w:pPr>
        <w:pStyle w:val="14"/>
        <w:ind w:firstLine="420"/>
      </w:pPr>
      <w:r>
        <w:t>T/ZJXJH 0004</w:t>
      </w:r>
      <w:r>
        <w:rPr>
          <w:rFonts w:hint="eastAsia"/>
        </w:rPr>
        <w:t>-</w:t>
      </w:r>
      <w:r>
        <w:t>2025</w:t>
      </w:r>
      <w:r>
        <w:rPr>
          <w:rFonts w:hint="eastAsia"/>
        </w:rPr>
        <w:t xml:space="preserve"> 乡村片区组团发展指南</w:t>
      </w:r>
    </w:p>
    <w:p w14:paraId="505D30F7">
      <w:pPr>
        <w:pStyle w:val="14"/>
        <w:ind w:firstLine="420"/>
      </w:pPr>
    </w:p>
    <w:p w14:paraId="64C242DC">
      <w:pPr>
        <w:pStyle w:val="16"/>
        <w:spacing w:before="240" w:after="240"/>
      </w:pPr>
      <w:bookmarkStart w:id="36" w:name="_Toc228868543"/>
      <w:bookmarkStart w:id="37" w:name="_Toc97192966"/>
      <w:r>
        <w:rPr>
          <w:rFonts w:hint="eastAsia"/>
          <w:szCs w:val="21"/>
        </w:rPr>
        <w:t>术语和定义</w:t>
      </w:r>
      <w:bookmarkEnd w:id="36"/>
      <w:bookmarkEnd w:id="37"/>
    </w:p>
    <w:sdt>
      <w:sdtPr>
        <w:id w:val="-1909835108"/>
        <w:placeholder>
          <w:docPart w:val="{c1b1d781-b62d-462c-a804-815009f4f1ec}"/>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0B8BF0B4">
          <w:pPr>
            <w:pStyle w:val="14"/>
            <w:ind w:firstLine="420"/>
          </w:pPr>
          <w:bookmarkStart w:id="38" w:name="_Toc26986532"/>
          <w:bookmarkEnd w:id="38"/>
          <w:r>
            <w:rPr>
              <w:rFonts w:hint="eastAsia"/>
            </w:rPr>
            <w:t>下列术语和定义适用于本文件。</w:t>
          </w:r>
        </w:p>
      </w:sdtContent>
    </w:sdt>
    <w:p w14:paraId="129DE9C2">
      <w:pPr>
        <w:pStyle w:val="17"/>
        <w:numPr>
          <w:ilvl w:val="0"/>
          <w:numId w:val="0"/>
        </w:numPr>
        <w:ind w:left="420"/>
        <w:rPr>
          <w:rFonts w:hint="eastAsia" w:ascii="黑体" w:hAnsi="黑体" w:eastAsia="黑体"/>
        </w:rPr>
      </w:pPr>
    </w:p>
    <w:p w14:paraId="4F1D6C13">
      <w:pPr>
        <w:pStyle w:val="17"/>
        <w:ind w:left="420" w:hanging="420" w:hangingChars="200"/>
        <w:rPr>
          <w:rFonts w:hint="eastAsia" w:ascii="黑体" w:hAnsi="黑体" w:eastAsia="黑体"/>
        </w:rPr>
      </w:pPr>
      <w:r>
        <w:rPr>
          <w:rFonts w:hint="eastAsia" w:ascii="黑体" w:hAnsi="黑体" w:eastAsia="黑体"/>
        </w:rPr>
        <w:t>乡村  village</w:t>
      </w:r>
    </w:p>
    <w:p w14:paraId="7DC046B9">
      <w:pPr>
        <w:pStyle w:val="14"/>
        <w:ind w:firstLine="420"/>
      </w:pPr>
      <w:r>
        <w:rPr>
          <w:rFonts w:hint="eastAsia"/>
        </w:rPr>
        <w:t>城市建成区以外具有自然、社会、经济特征和生产、生活、生态、文化等多重功能的地域综合体，包括乡镇和村庄等。</w:t>
      </w:r>
    </w:p>
    <w:p w14:paraId="320FDED0">
      <w:pPr>
        <w:pStyle w:val="17"/>
        <w:numPr>
          <w:ilvl w:val="0"/>
          <w:numId w:val="0"/>
        </w:numPr>
        <w:ind w:left="420"/>
        <w:rPr>
          <w:rFonts w:hint="eastAsia" w:ascii="黑体" w:hAnsi="黑体" w:eastAsia="黑体"/>
        </w:rPr>
      </w:pPr>
    </w:p>
    <w:p w14:paraId="25E3A569">
      <w:pPr>
        <w:pStyle w:val="17"/>
        <w:ind w:left="420" w:hanging="420" w:hangingChars="200"/>
        <w:rPr>
          <w:rFonts w:hint="eastAsia" w:ascii="黑体" w:hAnsi="黑体" w:eastAsia="黑体"/>
        </w:rPr>
      </w:pPr>
      <w:r>
        <w:rPr>
          <w:rFonts w:ascii="黑体" w:hAnsi="黑体" w:eastAsia="黑体"/>
        </w:rPr>
        <w:t xml:space="preserve">品牌  </w:t>
      </w:r>
      <w:r>
        <w:rPr>
          <w:rFonts w:hint="eastAsia" w:ascii="黑体" w:hAnsi="黑体" w:eastAsia="黑体" w:cs="黑体"/>
        </w:rPr>
        <w:t>brand</w:t>
      </w:r>
    </w:p>
    <w:p w14:paraId="19F9147F">
      <w:pPr>
        <w:pStyle w:val="14"/>
        <w:ind w:firstLine="420"/>
      </w:pPr>
      <w:r>
        <w:rPr>
          <w:rFonts w:hint="eastAsia"/>
        </w:rPr>
        <w:t>与营销相关的</w:t>
      </w:r>
      <w:r>
        <w:t>无形资产，包括（但不限于）名称、用语、符号、形象、标识、</w:t>
      </w:r>
      <w:r>
        <w:rPr>
          <w:rFonts w:hint="eastAsia"/>
        </w:rPr>
        <w:t>设计</w:t>
      </w:r>
      <w:r>
        <w:t>或其组合，用于区分产品、服务和（或）实体，或兼而有之，能够在利益相关方意识中形成独特印象和联想，从而产生经济利益（价值）。</w:t>
      </w:r>
    </w:p>
    <w:p w14:paraId="0393FC65">
      <w:pPr>
        <w:pStyle w:val="17"/>
        <w:numPr>
          <w:ilvl w:val="0"/>
          <w:numId w:val="0"/>
        </w:numPr>
        <w:rPr>
          <w:rFonts w:hint="eastAsia" w:ascii="黑体" w:hAnsi="黑体" w:eastAsia="黑体"/>
        </w:rPr>
      </w:pPr>
    </w:p>
    <w:p w14:paraId="5F466144">
      <w:pPr>
        <w:pStyle w:val="17"/>
        <w:ind w:left="420" w:hanging="420" w:hangingChars="200"/>
        <w:rPr>
          <w:rFonts w:hint="eastAsia" w:ascii="黑体" w:hAnsi="黑体" w:eastAsia="黑体"/>
        </w:rPr>
      </w:pPr>
      <w:r>
        <w:rPr>
          <w:rFonts w:ascii="黑体" w:hAnsi="黑体" w:eastAsia="黑体"/>
        </w:rPr>
        <w:t xml:space="preserve">品牌乡村  </w:t>
      </w:r>
      <w:r>
        <w:rPr>
          <w:rFonts w:hint="eastAsia" w:ascii="黑体" w:hAnsi="黑体" w:eastAsia="黑体"/>
        </w:rPr>
        <w:t>branded village</w:t>
      </w:r>
    </w:p>
    <w:p w14:paraId="2A0E5ED9">
      <w:pPr>
        <w:pStyle w:val="14"/>
        <w:ind w:firstLine="420"/>
      </w:pPr>
      <w:r>
        <w:t>从品牌认知的角度而言，品牌乡村指的是人们对一个乡村区域整体、区域产业、区域产品、区域文化等方面的感知或综合评价，是对乡村组织、生态、文化、经济和社会价值总和的整体印象、认知及评价，是消费者与作为空间整体的乡村之间形成的独特关系，是一种独特的利益载体、价值系统与诚信体系。</w:t>
      </w:r>
    </w:p>
    <w:p w14:paraId="045968F4">
      <w:pPr>
        <w:pStyle w:val="17"/>
        <w:numPr>
          <w:ilvl w:val="0"/>
          <w:numId w:val="0"/>
        </w:numPr>
        <w:ind w:left="420"/>
        <w:rPr>
          <w:rFonts w:hint="eastAsia" w:ascii="黑体" w:hAnsi="黑体" w:eastAsia="黑体"/>
        </w:rPr>
      </w:pPr>
    </w:p>
    <w:p w14:paraId="7EDD4275">
      <w:pPr>
        <w:pStyle w:val="17"/>
        <w:ind w:left="420" w:hanging="420" w:hangingChars="200"/>
        <w:rPr>
          <w:rFonts w:hint="eastAsia" w:ascii="黑体" w:hAnsi="黑体" w:eastAsia="黑体"/>
        </w:rPr>
      </w:pPr>
      <w:r>
        <w:rPr>
          <w:rFonts w:hint="eastAsia" w:ascii="黑体" w:hAnsi="黑体" w:eastAsia="黑体"/>
        </w:rPr>
        <w:t>乡村片区组团</w:t>
      </w:r>
      <w:r>
        <w:rPr>
          <w:rFonts w:ascii="黑体" w:hAnsi="黑体" w:eastAsia="黑体"/>
        </w:rPr>
        <w:t xml:space="preserve">  </w:t>
      </w:r>
      <w:r>
        <w:rPr>
          <w:rFonts w:hint="eastAsia" w:ascii="黑体" w:hAnsi="黑体" w:eastAsia="黑体"/>
        </w:rPr>
        <w:t>rural area integrated villages</w:t>
      </w:r>
    </w:p>
    <w:p w14:paraId="0168BCB0">
      <w:pPr>
        <w:pStyle w:val="20"/>
        <w:rPr>
          <w:rFonts w:ascii="宋体" w:hAnsi="Times New Roman" w:cs="Times New Roman"/>
          <w:color w:val="auto"/>
          <w:kern w:val="2"/>
          <w:sz w:val="21"/>
          <w:szCs w:val="24"/>
        </w:rPr>
      </w:pPr>
      <w:r>
        <w:rPr>
          <w:rFonts w:hint="eastAsia"/>
        </w:rPr>
        <w:t xml:space="preserve">    </w:t>
      </w:r>
      <w:r>
        <w:rPr>
          <w:rFonts w:ascii="宋体" w:hAnsi="Times New Roman" w:cs="Times New Roman"/>
          <w:color w:val="auto"/>
          <w:kern w:val="2"/>
          <w:sz w:val="21"/>
          <w:szCs w:val="24"/>
        </w:rPr>
        <w:t>不打破原有村级行政建制，由地理相邻、资源禀赋相近、产业特色相关、文化传统相通的多个行政</w:t>
      </w:r>
    </w:p>
    <w:p w14:paraId="3CE12567">
      <w:pPr>
        <w:pStyle w:val="20"/>
        <w:rPr>
          <w:rFonts w:ascii="宋体" w:hAnsi="Times New Roman" w:cs="Times New Roman"/>
          <w:color w:val="auto"/>
          <w:kern w:val="2"/>
          <w:sz w:val="21"/>
          <w:szCs w:val="24"/>
        </w:rPr>
      </w:pPr>
      <w:r>
        <w:rPr>
          <w:rFonts w:ascii="宋体" w:hAnsi="Times New Roman" w:cs="Times New Roman"/>
          <w:color w:val="auto"/>
          <w:kern w:val="2"/>
          <w:sz w:val="21"/>
          <w:szCs w:val="24"/>
        </w:rPr>
        <w:t>村，以协同发展为目标联合组建的乡村振兴新型协同组织单元。</w:t>
      </w:r>
    </w:p>
    <w:p w14:paraId="4B6432F9">
      <w:pPr>
        <w:pStyle w:val="14"/>
        <w:ind w:firstLine="0" w:firstLineChars="0"/>
      </w:pPr>
    </w:p>
    <w:p w14:paraId="1AD3EFC8">
      <w:pPr>
        <w:widowControl/>
        <w:adjustRightInd/>
        <w:spacing w:line="240" w:lineRule="auto"/>
        <w:jc w:val="left"/>
        <w:rPr>
          <w:rFonts w:hint="eastAsia" w:ascii="黑体" w:hAnsi="黑体" w:eastAsia="黑体"/>
          <w:szCs w:val="24"/>
        </w:rPr>
      </w:pPr>
      <w:r>
        <w:rPr>
          <w:rFonts w:hint="eastAsia" w:ascii="黑体" w:hAnsi="黑体" w:eastAsia="黑体"/>
        </w:rPr>
        <w:t xml:space="preserve">3.5  强团公司  </w:t>
      </w:r>
      <w:r>
        <w:rPr>
          <w:rFonts w:ascii="黑体" w:hAnsi="黑体" w:eastAsia="黑体"/>
          <w:szCs w:val="24"/>
        </w:rPr>
        <w:t>strong union group</w:t>
      </w:r>
    </w:p>
    <w:p w14:paraId="53D06B86">
      <w:pPr>
        <w:pStyle w:val="20"/>
        <w:ind w:firstLine="420" w:firstLineChars="200"/>
        <w:rPr>
          <w:rFonts w:ascii="宋体" w:hAnsi="Times New Roman" w:cs="Times New Roman"/>
          <w:color w:val="auto"/>
          <w:kern w:val="2"/>
          <w:sz w:val="21"/>
          <w:szCs w:val="24"/>
        </w:rPr>
      </w:pPr>
      <w:r>
        <w:rPr>
          <w:rFonts w:hint="eastAsia" w:ascii="宋体" w:hAnsi="Times New Roman" w:cs="Times New Roman"/>
          <w:color w:val="auto"/>
          <w:kern w:val="2"/>
          <w:sz w:val="21"/>
          <w:szCs w:val="24"/>
        </w:rPr>
        <w:t>由片</w:t>
      </w:r>
      <w:r>
        <w:rPr>
          <w:rFonts w:ascii="宋体" w:hAnsi="Times New Roman" w:cs="Times New Roman"/>
          <w:color w:val="auto"/>
          <w:kern w:val="2"/>
          <w:sz w:val="21"/>
          <w:szCs w:val="24"/>
        </w:rPr>
        <w:t>区内多个行政村以集体资产作价入股或资金认缴方式共同出资成立，承担片区资产运营、产业培育、品牌管理等核心职能的片区市场化专业运营主体。</w:t>
      </w:r>
    </w:p>
    <w:p w14:paraId="73AC6181">
      <w:pPr>
        <w:pStyle w:val="14"/>
        <w:ind w:firstLine="0" w:firstLineChars="0"/>
      </w:pPr>
    </w:p>
    <w:p w14:paraId="5F672AF8">
      <w:pPr>
        <w:pStyle w:val="20"/>
        <w:rPr>
          <w:rFonts w:hint="eastAsia" w:ascii="黑体" w:hAnsi="黑体" w:eastAsia="黑体" w:cs="Times New Roman"/>
          <w:color w:val="auto"/>
          <w:kern w:val="2"/>
          <w:sz w:val="21"/>
          <w:szCs w:val="24"/>
        </w:rPr>
      </w:pPr>
      <w:r>
        <w:rPr>
          <w:rFonts w:hint="eastAsia" w:ascii="黑体" w:hAnsi="黑体" w:eastAsia="黑体" w:cs="Times New Roman"/>
          <w:color w:val="auto"/>
          <w:kern w:val="2"/>
          <w:sz w:val="21"/>
          <w:szCs w:val="21"/>
        </w:rPr>
        <w:t xml:space="preserve">3.6  村两委  </w:t>
      </w:r>
      <w:r>
        <w:rPr>
          <w:rFonts w:ascii="黑体" w:hAnsi="黑体" w:eastAsia="黑体" w:cs="Times New Roman"/>
          <w:color w:val="auto"/>
          <w:kern w:val="2"/>
          <w:sz w:val="21"/>
          <w:szCs w:val="24"/>
        </w:rPr>
        <w:t>the village Party branch committee and village committee</w:t>
      </w:r>
    </w:p>
    <w:p w14:paraId="6F1E2706">
      <w:pPr>
        <w:pStyle w:val="20"/>
        <w:ind w:firstLine="420" w:firstLineChars="200"/>
        <w:rPr>
          <w:rFonts w:ascii="宋体" w:hAnsi="Times New Roman" w:cs="Times New Roman"/>
          <w:color w:val="auto"/>
          <w:kern w:val="2"/>
          <w:sz w:val="21"/>
          <w:szCs w:val="24"/>
        </w:rPr>
      </w:pPr>
      <w:r>
        <w:rPr>
          <w:rFonts w:ascii="宋体" w:hAnsi="Times New Roman" w:cs="Times New Roman"/>
          <w:color w:val="auto"/>
          <w:kern w:val="2"/>
          <w:sz w:val="21"/>
          <w:szCs w:val="24"/>
        </w:rPr>
        <w:t>村党支部委员会和村民委员会的合称。</w:t>
      </w:r>
    </w:p>
    <w:p w14:paraId="151DBB5A">
      <w:pPr>
        <w:pStyle w:val="20"/>
        <w:ind w:firstLine="420" w:firstLineChars="200"/>
        <w:rPr>
          <w:rFonts w:ascii="宋体" w:hAnsi="Times New Roman" w:cs="Times New Roman"/>
          <w:color w:val="auto"/>
          <w:kern w:val="2"/>
          <w:sz w:val="21"/>
          <w:szCs w:val="24"/>
        </w:rPr>
      </w:pPr>
    </w:p>
    <w:p w14:paraId="1E282C90">
      <w:pPr>
        <w:widowControl/>
        <w:adjustRightInd/>
        <w:spacing w:line="240" w:lineRule="auto"/>
        <w:jc w:val="left"/>
        <w:rPr>
          <w:rFonts w:ascii="Times New Roman" w:hAnsi="Times New Roman"/>
          <w:color w:val="000000"/>
          <w:kern w:val="0"/>
          <w:sz w:val="16"/>
          <w:szCs w:val="16"/>
        </w:rPr>
      </w:pPr>
      <w:r>
        <w:rPr>
          <w:rFonts w:hint="eastAsia" w:ascii="黑体" w:hAnsi="黑体" w:eastAsia="黑体"/>
        </w:rPr>
        <w:t xml:space="preserve">3.7  </w:t>
      </w:r>
      <w:r>
        <w:rPr>
          <w:rFonts w:ascii="黑体" w:hAnsi="黑体" w:eastAsia="黑体"/>
        </w:rPr>
        <w:t>乡村 CEO</w:t>
      </w:r>
      <w:r>
        <w:rPr>
          <w:rFonts w:hint="eastAsia" w:ascii="黑体" w:hAnsi="黑体" w:eastAsia="黑体"/>
        </w:rPr>
        <w:t xml:space="preserve">  </w:t>
      </w:r>
      <w:r>
        <w:rPr>
          <w:rFonts w:ascii="黑体" w:hAnsi="黑体" w:eastAsia="黑体"/>
          <w:szCs w:val="24"/>
        </w:rPr>
        <w:t>rural CEO</w:t>
      </w:r>
    </w:p>
    <w:p w14:paraId="382982CE">
      <w:pPr>
        <w:widowControl/>
        <w:adjustRightInd/>
        <w:spacing w:line="240" w:lineRule="auto"/>
        <w:ind w:firstLine="420" w:firstLineChars="200"/>
        <w:jc w:val="left"/>
        <w:rPr>
          <w:rFonts w:ascii="宋体" w:hAnsi="Times New Roman"/>
          <w:szCs w:val="24"/>
        </w:rPr>
      </w:pPr>
      <w:r>
        <w:rPr>
          <w:rFonts w:ascii="宋体" w:hAnsi="Times New Roman"/>
          <w:szCs w:val="24"/>
        </w:rPr>
        <w:t>经市场化选聘，受聘于强团公司，负责片区集体经济运营、产业项目操盘、资源整合对接的专业职业经理人。</w:t>
      </w:r>
    </w:p>
    <w:p w14:paraId="7C477620">
      <w:pPr>
        <w:pStyle w:val="14"/>
        <w:ind w:firstLine="0" w:firstLineChars="0"/>
      </w:pPr>
    </w:p>
    <w:p w14:paraId="010B4804">
      <w:pPr>
        <w:pStyle w:val="16"/>
        <w:spacing w:before="240" w:after="240"/>
      </w:pPr>
      <w:bookmarkStart w:id="39" w:name="_Toc228868544"/>
      <w:r>
        <w:rPr>
          <w:rFonts w:hint="eastAsia"/>
        </w:rPr>
        <w:t>指导思想和基本原则</w:t>
      </w:r>
      <w:bookmarkEnd w:id="39"/>
    </w:p>
    <w:p w14:paraId="28D66C77">
      <w:pPr>
        <w:pStyle w:val="19"/>
        <w:spacing w:before="120" w:after="120"/>
      </w:pPr>
      <w:bookmarkStart w:id="40" w:name="_Toc228868545"/>
      <w:r>
        <w:rPr>
          <w:rFonts w:hint="eastAsia"/>
        </w:rPr>
        <w:t>指导思想</w:t>
      </w:r>
      <w:bookmarkEnd w:id="40"/>
    </w:p>
    <w:p w14:paraId="21A10A2B">
      <w:pPr>
        <w:pStyle w:val="14"/>
        <w:ind w:firstLine="420"/>
      </w:pPr>
      <w:r>
        <w:rPr>
          <w:rFonts w:hint="eastAsia"/>
        </w:rPr>
        <w:t>本文件以乡村品牌化经营为评价对象，</w:t>
      </w:r>
      <w:r>
        <w:t>以农业、农村、农民为</w:t>
      </w:r>
      <w:r>
        <w:rPr>
          <w:rFonts w:hint="eastAsia"/>
        </w:rPr>
        <w:t>主要关注点，</w:t>
      </w:r>
      <w:r>
        <w:t>以实现乡村区域的“美丽经济”、品牌经济为目的</w:t>
      </w:r>
      <w:r>
        <w:rPr>
          <w:rFonts w:hint="eastAsia"/>
        </w:rPr>
        <w:t>，综合考量</w:t>
      </w:r>
      <w:r>
        <w:t>乡村区域空间内独特的自然生态、 历史人文、产业</w:t>
      </w:r>
      <w:r>
        <w:rPr>
          <w:rFonts w:hint="eastAsia"/>
        </w:rPr>
        <w:t>基础</w:t>
      </w:r>
      <w:r>
        <w:t>、生活方式</w:t>
      </w:r>
      <w:r>
        <w:rPr>
          <w:rFonts w:hint="eastAsia"/>
        </w:rPr>
        <w:t>等因素，全面评价品牌乡村的经营水平与成效，旨在提升品牌乡村经营水平，引领品牌乡村高质量发展。</w:t>
      </w:r>
    </w:p>
    <w:p w14:paraId="42EB4972">
      <w:pPr>
        <w:pStyle w:val="19"/>
        <w:spacing w:before="120" w:after="120"/>
      </w:pPr>
      <w:bookmarkStart w:id="41" w:name="_Toc228868546"/>
      <w:r>
        <w:rPr>
          <w:rFonts w:hint="eastAsia"/>
        </w:rPr>
        <w:t>基本原则</w:t>
      </w:r>
      <w:bookmarkEnd w:id="41"/>
    </w:p>
    <w:p w14:paraId="4F2E247F">
      <w:pPr>
        <w:pStyle w:val="21"/>
      </w:pPr>
      <w:r>
        <w:rPr>
          <w:rFonts w:hint="eastAsia"/>
        </w:rPr>
        <w:t>坚持中国共产党的领导，走中国特色社会主义乡村振兴道路，贯彻“分类有序、片区化推进乡村振兴”与和美乡村发展理念；</w:t>
      </w:r>
    </w:p>
    <w:p w14:paraId="1F8A16D6">
      <w:pPr>
        <w:pStyle w:val="21"/>
      </w:pPr>
      <w:r>
        <w:rPr>
          <w:rFonts w:hint="eastAsia"/>
        </w:rPr>
        <w:t>坚持科学公正、公平公开、自愿申请，评价指标结构合理，简便实用，评价数据可靠，有代表性和时效性，真实反映品牌乡村经营现状；</w:t>
      </w:r>
    </w:p>
    <w:p w14:paraId="2F6AA2DF">
      <w:pPr>
        <w:pStyle w:val="21"/>
      </w:pPr>
      <w:r>
        <w:rPr>
          <w:rFonts w:hint="eastAsia"/>
        </w:rPr>
        <w:t>坚持因地制宜，尊重乡村经营模式与类型差异，充分考虑乡村的历史条件与发展成效、常规动作与创新举措、有为政府与有效市场等因素，实现综合性、系统性评价；</w:t>
      </w:r>
    </w:p>
    <w:p w14:paraId="414B357B">
      <w:pPr>
        <w:pStyle w:val="21"/>
      </w:pPr>
      <w:r>
        <w:rPr>
          <w:rFonts w:hint="eastAsia"/>
        </w:rPr>
        <w:t>坚持农民主体地位，充分尊重农民意愿，保障农民权利和其他合法权益，调动农民的积极性、主动性、创造性，维护农民根本利益，不断提升农民的获得感、幸福感；</w:t>
      </w:r>
    </w:p>
    <w:p w14:paraId="6C1FD098">
      <w:pPr>
        <w:pStyle w:val="16"/>
        <w:spacing w:before="240" w:after="240"/>
      </w:pPr>
      <w:bookmarkStart w:id="42" w:name="_Toc228868547"/>
      <w:r>
        <w:rPr>
          <w:rFonts w:hint="eastAsia"/>
        </w:rPr>
        <w:t>评价工作流程</w:t>
      </w:r>
      <w:bookmarkEnd w:id="42"/>
    </w:p>
    <w:p w14:paraId="1B9254BA">
      <w:pPr>
        <w:pStyle w:val="19"/>
        <w:spacing w:before="120" w:after="120"/>
      </w:pPr>
      <w:bookmarkStart w:id="43" w:name="_Toc228868548"/>
      <w:r>
        <w:rPr>
          <w:rFonts w:hint="eastAsia"/>
        </w:rPr>
        <w:t>评价组织</w:t>
      </w:r>
      <w:bookmarkEnd w:id="43"/>
    </w:p>
    <w:p w14:paraId="57C920A3">
      <w:pPr>
        <w:pStyle w:val="22"/>
        <w:spacing w:before="120" w:after="120"/>
      </w:pPr>
      <w:r>
        <w:rPr>
          <w:rFonts w:hint="eastAsia"/>
        </w:rPr>
        <w:t>评价组织要求</w:t>
      </w:r>
    </w:p>
    <w:p w14:paraId="59F5E87A">
      <w:pPr>
        <w:pStyle w:val="14"/>
        <w:ind w:firstLine="420"/>
      </w:pPr>
      <w:r>
        <w:t>评价组织可由具备以下条件的第三方评价机构</w:t>
      </w:r>
      <w:r>
        <w:rPr>
          <w:rFonts w:hint="eastAsia"/>
        </w:rPr>
        <w:t>担任</w:t>
      </w:r>
      <w:r>
        <w:t>。</w:t>
      </w:r>
    </w:p>
    <w:p w14:paraId="49E4734D">
      <w:pPr>
        <w:pStyle w:val="21"/>
      </w:pPr>
      <w:r>
        <w:t>依法在民政部门注册登记，具有独立承担民事责任能力的社会组织；</w:t>
      </w:r>
    </w:p>
    <w:p w14:paraId="5C2828CA">
      <w:pPr>
        <w:pStyle w:val="21"/>
      </w:pPr>
      <w:r>
        <w:t>熟悉</w:t>
      </w:r>
      <w:r>
        <w:rPr>
          <w:rFonts w:hint="eastAsia"/>
        </w:rPr>
        <w:t>乡村社会和乡村经营，</w:t>
      </w:r>
      <w:r>
        <w:t>具有承接</w:t>
      </w:r>
      <w:r>
        <w:rPr>
          <w:rFonts w:hint="eastAsia"/>
        </w:rPr>
        <w:t>乡村评价</w:t>
      </w:r>
      <w:r>
        <w:t>服务项目的经验；</w:t>
      </w:r>
    </w:p>
    <w:p w14:paraId="0BB1A2BB">
      <w:pPr>
        <w:pStyle w:val="21"/>
      </w:pPr>
      <w:r>
        <w:rPr>
          <w:rFonts w:hint="eastAsia"/>
        </w:rPr>
        <w:t>熟悉</w:t>
      </w:r>
      <w:r>
        <w:t>品牌乡村创建、运营和管理工作；</w:t>
      </w:r>
    </w:p>
    <w:p w14:paraId="38BC8F24">
      <w:pPr>
        <w:pStyle w:val="21"/>
      </w:pPr>
      <w:r>
        <w:t>专职工作人员数量不低于3人</w:t>
      </w:r>
      <w:r>
        <w:rPr>
          <w:rFonts w:hint="eastAsia"/>
        </w:rPr>
        <w:t>，</w:t>
      </w:r>
      <w:r>
        <w:t>有良好的信誉度和公信力；</w:t>
      </w:r>
    </w:p>
    <w:p w14:paraId="15623B8D">
      <w:pPr>
        <w:pStyle w:val="21"/>
      </w:pPr>
      <w:r>
        <w:t>近三年内没有被国家有关部门处罚的违法、违规行为记录。</w:t>
      </w:r>
    </w:p>
    <w:p w14:paraId="74934917">
      <w:pPr>
        <w:pStyle w:val="22"/>
        <w:spacing w:before="120" w:after="120"/>
      </w:pPr>
      <w:r>
        <w:rPr>
          <w:rFonts w:hint="eastAsia"/>
        </w:rPr>
        <w:t>组建评价小组</w:t>
      </w:r>
    </w:p>
    <w:p w14:paraId="5167F263">
      <w:pPr>
        <w:pStyle w:val="14"/>
        <w:ind w:firstLine="420"/>
      </w:pPr>
      <w:r>
        <w:rPr>
          <w:rFonts w:hint="eastAsia"/>
        </w:rPr>
        <w:t>由政府主管部门、高校科研院所、新闻媒体、社会团体、品牌乡村运营机构、乡镇基层单位中具有丰富研究和实践经验的专家组成评价小组。</w:t>
      </w:r>
    </w:p>
    <w:p w14:paraId="1BCAA3B2">
      <w:pPr>
        <w:pStyle w:val="19"/>
        <w:spacing w:before="120" w:after="120"/>
      </w:pPr>
      <w:bookmarkStart w:id="44" w:name="_Toc228868549"/>
      <w:r>
        <w:rPr>
          <w:rFonts w:hint="eastAsia"/>
        </w:rPr>
        <w:t>评价方案</w:t>
      </w:r>
      <w:bookmarkEnd w:id="44"/>
    </w:p>
    <w:p w14:paraId="47F6B470">
      <w:pPr>
        <w:pStyle w:val="14"/>
        <w:ind w:firstLine="420"/>
      </w:pPr>
      <w:r>
        <w:rPr>
          <w:rFonts w:hint="eastAsia"/>
        </w:rPr>
        <w:t>评价小组制定评价方案，评价方案满足以下要求：</w:t>
      </w:r>
    </w:p>
    <w:p w14:paraId="66AABDAC">
      <w:pPr>
        <w:pStyle w:val="21"/>
      </w:pPr>
      <w:r>
        <w:rPr>
          <w:rFonts w:hint="eastAsia"/>
        </w:rPr>
        <w:t>围绕本文件评价指标体系设置评价内容；</w:t>
      </w:r>
    </w:p>
    <w:p w14:paraId="5E74FF2F">
      <w:pPr>
        <w:pStyle w:val="21"/>
      </w:pPr>
      <w:r>
        <w:rPr>
          <w:rFonts w:hint="eastAsia"/>
        </w:rPr>
        <w:t>充分考虑当地乡村资源禀赋与发展条件；</w:t>
      </w:r>
    </w:p>
    <w:p w14:paraId="496E8763">
      <w:pPr>
        <w:pStyle w:val="21"/>
      </w:pPr>
      <w:r>
        <w:rPr>
          <w:rFonts w:hint="eastAsia"/>
        </w:rPr>
        <w:t>客观公正反映评价对象的实际建设成效；</w:t>
      </w:r>
    </w:p>
    <w:p w14:paraId="2E655769">
      <w:pPr>
        <w:pStyle w:val="21"/>
      </w:pPr>
      <w:r>
        <w:rPr>
          <w:rFonts w:hint="eastAsia"/>
        </w:rPr>
        <w:t>评价结果应以系统性的可量化指标呈现；</w:t>
      </w:r>
    </w:p>
    <w:p w14:paraId="0D9E205F">
      <w:pPr>
        <w:pStyle w:val="21"/>
      </w:pPr>
      <w:r>
        <w:rPr>
          <w:rFonts w:hint="eastAsia"/>
        </w:rPr>
        <w:t>部分指标可辅助采用人工智能等大数据；</w:t>
      </w:r>
    </w:p>
    <w:p w14:paraId="064C81C1">
      <w:pPr>
        <w:pStyle w:val="19"/>
        <w:spacing w:before="120" w:after="120"/>
      </w:pPr>
      <w:bookmarkStart w:id="45" w:name="_Toc228868550"/>
      <w:r>
        <w:rPr>
          <w:rFonts w:hint="eastAsia"/>
        </w:rPr>
        <w:t>申报条件</w:t>
      </w:r>
      <w:bookmarkEnd w:id="45"/>
    </w:p>
    <w:p w14:paraId="401A8727">
      <w:pPr>
        <w:pStyle w:val="14"/>
        <w:ind w:firstLine="420"/>
      </w:pPr>
      <w:r>
        <w:rPr>
          <w:rFonts w:hint="eastAsia"/>
        </w:rPr>
        <w:t>申报品牌乡村评价的基本条件，包括：</w:t>
      </w:r>
    </w:p>
    <w:p w14:paraId="54BFCC4B">
      <w:pPr>
        <w:pStyle w:val="21"/>
      </w:pPr>
      <w:r>
        <w:rPr>
          <w:rFonts w:hint="eastAsia"/>
        </w:rPr>
        <w:t>中华人民共和国境内的行政村、乡村片区组团及乡镇；</w:t>
      </w:r>
    </w:p>
    <w:p w14:paraId="5D0D2D04">
      <w:pPr>
        <w:pStyle w:val="21"/>
      </w:pPr>
      <w:r>
        <w:rPr>
          <w:rFonts w:hint="eastAsia"/>
        </w:rPr>
        <w:t>有“美丽乡村”与“和美乡村”建设基础；</w:t>
      </w:r>
    </w:p>
    <w:p w14:paraId="5D84CF23">
      <w:pPr>
        <w:pStyle w:val="21"/>
      </w:pPr>
      <w:r>
        <w:rPr>
          <w:rFonts w:hint="eastAsia"/>
        </w:rPr>
        <w:t>域内有较为明确的品牌定位和业态；</w:t>
      </w:r>
    </w:p>
    <w:p w14:paraId="4B0B6601">
      <w:pPr>
        <w:pStyle w:val="21"/>
      </w:pPr>
      <w:r>
        <w:rPr>
          <w:rFonts w:hint="eastAsia"/>
        </w:rPr>
        <w:t>有品牌乡村运营主体，且运营状态正常；</w:t>
      </w:r>
    </w:p>
    <w:p w14:paraId="2943E4B4">
      <w:pPr>
        <w:pStyle w:val="21"/>
      </w:pPr>
      <w:r>
        <w:rPr>
          <w:rFonts w:hint="eastAsia"/>
        </w:rPr>
        <w:t>村集体、村民收入不低于当地平均水平；</w:t>
      </w:r>
    </w:p>
    <w:p w14:paraId="3D6DC33D">
      <w:pPr>
        <w:pStyle w:val="21"/>
      </w:pPr>
      <w:r>
        <w:rPr>
          <w:rFonts w:hint="eastAsia"/>
        </w:rPr>
        <w:t>近三年无耕地、生态、文保和食品安全等方面的事故。</w:t>
      </w:r>
    </w:p>
    <w:p w14:paraId="1AB13CF4">
      <w:pPr>
        <w:pStyle w:val="19"/>
        <w:spacing w:before="120" w:after="120"/>
      </w:pPr>
      <w:bookmarkStart w:id="46" w:name="_Toc228868551"/>
      <w:r>
        <w:rPr>
          <w:rFonts w:hint="eastAsia"/>
        </w:rPr>
        <w:t>发布通知</w:t>
      </w:r>
      <w:bookmarkEnd w:id="46"/>
    </w:p>
    <w:p w14:paraId="1C7C18E3">
      <w:pPr>
        <w:pStyle w:val="14"/>
        <w:ind w:firstLine="420"/>
      </w:pPr>
      <w:r>
        <w:rPr>
          <w:rFonts w:hint="eastAsia"/>
        </w:rPr>
        <w:t>主办单位发布评价通知，符合条件的品牌乡村自愿申报，根据通知要求提交申报材料。</w:t>
      </w:r>
    </w:p>
    <w:p w14:paraId="5FD37170">
      <w:pPr>
        <w:pStyle w:val="19"/>
        <w:spacing w:before="120" w:after="120"/>
      </w:pPr>
      <w:bookmarkStart w:id="47" w:name="_Toc228868552"/>
      <w:r>
        <w:rPr>
          <w:rFonts w:hint="eastAsia"/>
        </w:rPr>
        <w:t>申报受理</w:t>
      </w:r>
      <w:bookmarkEnd w:id="47"/>
    </w:p>
    <w:p w14:paraId="4DB3BFA3">
      <w:pPr>
        <w:pStyle w:val="14"/>
        <w:ind w:firstLine="420"/>
      </w:pPr>
      <w:r>
        <w:rPr>
          <w:rFonts w:hint="eastAsia"/>
        </w:rPr>
        <w:t>承办单位接收本年度品牌乡村评价申报材料，对申报材料及参评资格进行审核，对不符合参评资格的申报对象，在收到材料后7个工作日内向申报单位出具《不予受理通知书》，并说明理由。</w:t>
      </w:r>
    </w:p>
    <w:p w14:paraId="03CBA3EA">
      <w:pPr>
        <w:pStyle w:val="19"/>
        <w:spacing w:before="120" w:after="120"/>
      </w:pPr>
      <w:bookmarkStart w:id="48" w:name="_Toc228868553"/>
      <w:r>
        <w:rPr>
          <w:rFonts w:hint="eastAsia"/>
        </w:rPr>
        <w:t>材料初审</w:t>
      </w:r>
      <w:bookmarkEnd w:id="48"/>
    </w:p>
    <w:p w14:paraId="365BF75D">
      <w:pPr>
        <w:pStyle w:val="14"/>
        <w:ind w:firstLine="420"/>
      </w:pPr>
      <w:r>
        <w:t>承办单位组织专家</w:t>
      </w:r>
      <w:r>
        <w:rPr>
          <w:rFonts w:hint="eastAsia"/>
        </w:rPr>
        <w:t>进行</w:t>
      </w:r>
      <w:r>
        <w:t>初</w:t>
      </w:r>
      <w:r>
        <w:rPr>
          <w:rFonts w:hint="eastAsia"/>
        </w:rPr>
        <w:t>次评审</w:t>
      </w:r>
      <w:r>
        <w:t>，根据评价指标及细则对评价对象提供的申报材料逐一进行查核、评分，并根据</w:t>
      </w:r>
      <w:r>
        <w:rPr>
          <w:rFonts w:hint="eastAsia"/>
        </w:rPr>
        <w:t>申报</w:t>
      </w:r>
      <w:r>
        <w:t>材料提出</w:t>
      </w:r>
      <w:r>
        <w:rPr>
          <w:rFonts w:hint="eastAsia"/>
        </w:rPr>
        <w:t>现场</w:t>
      </w:r>
      <w:r>
        <w:t>考察名单。评价指标及</w:t>
      </w:r>
      <w:r>
        <w:rPr>
          <w:rFonts w:hint="eastAsia"/>
        </w:rPr>
        <w:t>评分</w:t>
      </w:r>
      <w:r>
        <w:t>细则见</w:t>
      </w:r>
      <w:r>
        <w:rPr>
          <w:rFonts w:hint="eastAsia"/>
        </w:rPr>
        <w:t>附录</w:t>
      </w:r>
      <w:r>
        <w:t>A.1</w:t>
      </w:r>
      <w:r>
        <w:rPr>
          <w:rFonts w:hint="eastAsia"/>
        </w:rPr>
        <w:t>和</w:t>
      </w:r>
      <w:r>
        <w:t>A.2。</w:t>
      </w:r>
    </w:p>
    <w:p w14:paraId="012D7CD6">
      <w:pPr>
        <w:pStyle w:val="19"/>
        <w:spacing w:before="120" w:after="120"/>
      </w:pPr>
      <w:bookmarkStart w:id="49" w:name="_Toc228868554"/>
      <w:r>
        <w:rPr>
          <w:rFonts w:hint="eastAsia"/>
        </w:rPr>
        <w:t>现场评审</w:t>
      </w:r>
      <w:bookmarkEnd w:id="49"/>
    </w:p>
    <w:p w14:paraId="3B9BE01F">
      <w:pPr>
        <w:pStyle w:val="14"/>
        <w:ind w:firstLine="420"/>
      </w:pPr>
      <w:r>
        <w:rPr>
          <w:rFonts w:hint="eastAsia"/>
        </w:rPr>
        <w:t>承办单位组织现场实地考察评审工作，专家听取评价对象汇报，查阅台账资料，访问村民、经营业主、游客等相关者，进行现场评分。现场评审考察的内容包括：</w:t>
      </w:r>
    </w:p>
    <w:p w14:paraId="2440C9DF">
      <w:pPr>
        <w:pStyle w:val="21"/>
      </w:pPr>
      <w:r>
        <w:rPr>
          <w:rFonts w:hint="eastAsia"/>
        </w:rPr>
        <w:t>资料审查：对参评对象提交的资料的真实性进行审查；</w:t>
      </w:r>
    </w:p>
    <w:p w14:paraId="1564642E">
      <w:pPr>
        <w:pStyle w:val="21"/>
      </w:pPr>
      <w:r>
        <w:rPr>
          <w:rFonts w:hint="eastAsia"/>
        </w:rPr>
        <w:t>应用审查：对参对象的环境、设施、场景、服务、品牌等进行审查；</w:t>
      </w:r>
    </w:p>
    <w:p w14:paraId="648D4919">
      <w:pPr>
        <w:pStyle w:val="21"/>
      </w:pPr>
      <w:r>
        <w:rPr>
          <w:rFonts w:hint="eastAsia"/>
        </w:rPr>
        <w:t>访谈调查：对村民、经营业主、游客等进行访谈，获知建设成效与认同感。</w:t>
      </w:r>
    </w:p>
    <w:p w14:paraId="665BE5FB">
      <w:pPr>
        <w:pStyle w:val="19"/>
        <w:spacing w:before="120" w:after="120"/>
      </w:pPr>
      <w:bookmarkStart w:id="50" w:name="_Toc228868555"/>
      <w:r>
        <w:rPr>
          <w:rFonts w:hint="eastAsia"/>
        </w:rPr>
        <w:t>公布结果</w:t>
      </w:r>
      <w:bookmarkEnd w:id="50"/>
    </w:p>
    <w:p w14:paraId="6E92CEC2">
      <w:pPr>
        <w:pStyle w:val="14"/>
        <w:ind w:firstLine="420"/>
      </w:pPr>
      <w:r>
        <w:rPr>
          <w:rFonts w:hint="eastAsia"/>
        </w:rPr>
        <w:t>专家组对参评对象进行会审，并提供评价得分和等级结果；承办单位将评价结果提交主办单位审阅，确认无误后，</w:t>
      </w:r>
      <w:r>
        <w:t>对</w:t>
      </w:r>
      <w:r>
        <w:rPr>
          <w:rFonts w:hint="eastAsia"/>
        </w:rPr>
        <w:t>评价</w:t>
      </w:r>
      <w:r>
        <w:t>结果进行公示</w:t>
      </w:r>
      <w:r>
        <w:rPr>
          <w:rFonts w:hint="eastAsia"/>
        </w:rPr>
        <w:t>；</w:t>
      </w:r>
      <w:r>
        <w:t>公示期为5个工作日</w:t>
      </w:r>
      <w:r>
        <w:rPr>
          <w:rFonts w:hint="eastAsia"/>
        </w:rPr>
        <w:t>，公示</w:t>
      </w:r>
      <w:r>
        <w:t>结束后，确</w:t>
      </w:r>
      <w:r>
        <w:rPr>
          <w:rFonts w:hint="eastAsia"/>
        </w:rPr>
        <w:t>定品</w:t>
      </w:r>
      <w:r>
        <w:t>牌乡村评价结果</w:t>
      </w:r>
      <w:r>
        <w:rPr>
          <w:rFonts w:hint="eastAsia"/>
        </w:rPr>
        <w:t>。</w:t>
      </w:r>
    </w:p>
    <w:p w14:paraId="6AFD3FF6">
      <w:pPr>
        <w:pStyle w:val="19"/>
        <w:spacing w:before="120" w:after="120"/>
      </w:pPr>
      <w:bookmarkStart w:id="51" w:name="_Toc228868556"/>
      <w:r>
        <w:rPr>
          <w:rFonts w:hint="eastAsia"/>
        </w:rPr>
        <w:t>应用价值</w:t>
      </w:r>
      <w:bookmarkEnd w:id="51"/>
    </w:p>
    <w:p w14:paraId="752E60C8">
      <w:pPr>
        <w:pStyle w:val="23"/>
        <w:numPr>
          <w:ilvl w:val="0"/>
          <w:numId w:val="0"/>
        </w:numPr>
        <w:ind w:firstLine="420" w:firstLineChars="200"/>
      </w:pPr>
      <w:r>
        <w:rPr>
          <w:rFonts w:hint="eastAsia"/>
        </w:rPr>
        <w:t>品牌乡村评价结果应用于：</w:t>
      </w:r>
    </w:p>
    <w:p w14:paraId="07A9432F">
      <w:pPr>
        <w:pStyle w:val="23"/>
        <w:numPr>
          <w:ilvl w:val="0"/>
          <w:numId w:val="0"/>
        </w:numPr>
        <w:ind w:firstLine="420" w:firstLineChars="200"/>
      </w:pPr>
      <w:r>
        <w:rPr>
          <w:rFonts w:hint="eastAsia"/>
        </w:rPr>
        <w:t>——塑造品牌乡村营商环境和区域形象；</w:t>
      </w:r>
    </w:p>
    <w:p w14:paraId="573AFFC9">
      <w:pPr>
        <w:pStyle w:val="23"/>
        <w:numPr>
          <w:ilvl w:val="0"/>
          <w:numId w:val="0"/>
        </w:numPr>
        <w:ind w:firstLine="420" w:firstLineChars="200"/>
      </w:pPr>
      <w:r>
        <w:rPr>
          <w:rFonts w:hint="eastAsia"/>
        </w:rPr>
        <w:t>——评估品牌乡村运营主体的运营成效；</w:t>
      </w:r>
    </w:p>
    <w:p w14:paraId="310DA3B5">
      <w:pPr>
        <w:pStyle w:val="23"/>
        <w:numPr>
          <w:ilvl w:val="0"/>
          <w:numId w:val="0"/>
        </w:numPr>
        <w:ind w:firstLine="420" w:firstLineChars="200"/>
      </w:pPr>
      <w:r>
        <w:rPr>
          <w:rFonts w:hint="eastAsia"/>
        </w:rPr>
        <w:t>——申请政府财政扶持项目和奖补政策；</w:t>
      </w:r>
    </w:p>
    <w:p w14:paraId="6ABDF077">
      <w:pPr>
        <w:pStyle w:val="23"/>
        <w:numPr>
          <w:ilvl w:val="0"/>
          <w:numId w:val="0"/>
        </w:numPr>
        <w:ind w:firstLine="420" w:firstLineChars="200"/>
      </w:pPr>
      <w:r>
        <w:rPr>
          <w:rFonts w:hint="eastAsia"/>
        </w:rPr>
        <w:t>——感召青年入乡并吸引游客和投资者；</w:t>
      </w:r>
    </w:p>
    <w:p w14:paraId="41B6B545">
      <w:pPr>
        <w:pStyle w:val="23"/>
        <w:numPr>
          <w:ilvl w:val="0"/>
          <w:numId w:val="0"/>
        </w:numPr>
        <w:ind w:firstLine="420" w:firstLineChars="200"/>
      </w:pPr>
      <w:r>
        <w:rPr>
          <w:rFonts w:hint="eastAsia"/>
        </w:rPr>
        <w:t>——提供问题诊断报告和发展优化建议。</w:t>
      </w:r>
    </w:p>
    <w:p w14:paraId="79488454">
      <w:pPr>
        <w:pStyle w:val="23"/>
        <w:numPr>
          <w:ilvl w:val="0"/>
          <w:numId w:val="0"/>
        </w:numPr>
        <w:ind w:firstLine="420" w:firstLineChars="200"/>
      </w:pPr>
    </w:p>
    <w:p w14:paraId="626B5964">
      <w:pPr>
        <w:pStyle w:val="16"/>
        <w:spacing w:before="240" w:after="240"/>
      </w:pPr>
      <w:bookmarkStart w:id="52" w:name="_Toc228868557"/>
      <w:r>
        <w:rPr>
          <w:rFonts w:hint="eastAsia"/>
        </w:rPr>
        <w:t>评价指标</w:t>
      </w:r>
      <w:bookmarkEnd w:id="52"/>
    </w:p>
    <w:p w14:paraId="4B514671">
      <w:pPr>
        <w:pStyle w:val="19"/>
        <w:spacing w:before="120" w:after="120"/>
      </w:pPr>
      <w:bookmarkStart w:id="53" w:name="_Toc228868558"/>
      <w:r>
        <w:rPr>
          <w:rFonts w:hint="eastAsia"/>
        </w:rPr>
        <w:t>指标设置</w:t>
      </w:r>
      <w:bookmarkEnd w:id="53"/>
    </w:p>
    <w:p w14:paraId="116BF117">
      <w:pPr>
        <w:pStyle w:val="23"/>
        <w:numPr>
          <w:ilvl w:val="0"/>
          <w:numId w:val="0"/>
        </w:numPr>
        <w:ind w:firstLine="420" w:firstLineChars="200"/>
      </w:pPr>
      <w:r>
        <w:rPr>
          <w:rFonts w:hint="eastAsia"/>
        </w:rPr>
        <w:t>品牌乡村评价指标由品牌基础要素、品牌强度要素、品牌贡献要素3个一级指标组成。</w:t>
      </w:r>
    </w:p>
    <w:p w14:paraId="6D51C4AC">
      <w:pPr>
        <w:pStyle w:val="23"/>
        <w:numPr>
          <w:ilvl w:val="0"/>
          <w:numId w:val="0"/>
        </w:numPr>
        <w:ind w:firstLine="420" w:firstLineChars="200"/>
      </w:pPr>
      <w:r>
        <w:rPr>
          <w:rFonts w:hint="eastAsia"/>
        </w:rPr>
        <w:t>行政村、乡镇的评价指标体系中，一级指标之下，设置10个二级指标；二级指标之下，设置28个三级指标。</w:t>
      </w:r>
    </w:p>
    <w:p w14:paraId="3DA1C0D6">
      <w:pPr>
        <w:pStyle w:val="23"/>
        <w:numPr>
          <w:ilvl w:val="0"/>
          <w:numId w:val="0"/>
        </w:numPr>
        <w:ind w:firstLine="420" w:firstLineChars="200"/>
      </w:pPr>
      <w:r>
        <w:rPr>
          <w:rFonts w:hint="eastAsia"/>
        </w:rPr>
        <w:t>乡村片区组团的评价指标体系中，一级指标之下，设置11个二级指标；二级指标之下，设置37个三级指标。</w:t>
      </w:r>
    </w:p>
    <w:p w14:paraId="0B71455C">
      <w:pPr>
        <w:pStyle w:val="23"/>
        <w:numPr>
          <w:ilvl w:val="0"/>
          <w:numId w:val="0"/>
        </w:numPr>
      </w:pPr>
    </w:p>
    <w:p w14:paraId="0DB922B1">
      <w:pPr>
        <w:pStyle w:val="19"/>
        <w:spacing w:before="120" w:after="120"/>
      </w:pPr>
      <w:bookmarkStart w:id="54" w:name="_Toc228868559"/>
      <w:r>
        <w:rPr>
          <w:rFonts w:hint="eastAsia"/>
        </w:rPr>
        <w:t>指标体系</w:t>
      </w:r>
      <w:bookmarkEnd w:id="54"/>
    </w:p>
    <w:p w14:paraId="2C51592C">
      <w:pPr>
        <w:pStyle w:val="19"/>
        <w:numPr>
          <w:ilvl w:val="2"/>
          <w:numId w:val="10"/>
        </w:numPr>
        <w:spacing w:before="120" w:after="120"/>
      </w:pPr>
      <w:bookmarkStart w:id="55" w:name="_Toc228868560"/>
      <w:r>
        <w:rPr>
          <w:rFonts w:hint="eastAsia"/>
        </w:rPr>
        <w:t>品牌乡村（行政村、乡镇）评价指标体系架构图</w:t>
      </w:r>
      <w:bookmarkEnd w:id="55"/>
    </w:p>
    <w:p w14:paraId="79375B21">
      <w:pPr>
        <w:pStyle w:val="14"/>
        <w:ind w:firstLine="0" w:firstLineChars="0"/>
        <w:jc w:val="center"/>
      </w:pPr>
      <w:r>
        <w:rPr>
          <w:rFonts w:hint="eastAsia"/>
        </w:rPr>
        <w:drawing>
          <wp:inline distT="0" distB="0" distL="0" distR="0">
            <wp:extent cx="6056630" cy="2896870"/>
            <wp:effectExtent l="9525" t="9525" r="10795" b="27305"/>
            <wp:docPr id="137186406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864068" name="图片 8"/>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066744" cy="2901712"/>
                    </a:xfrm>
                    <a:prstGeom prst="rect">
                      <a:avLst/>
                    </a:prstGeom>
                    <a:ln>
                      <a:solidFill>
                        <a:srgbClr val="000000"/>
                      </a:solidFill>
                    </a:ln>
                  </pic:spPr>
                </pic:pic>
              </a:graphicData>
            </a:graphic>
          </wp:inline>
        </w:drawing>
      </w:r>
    </w:p>
    <w:p w14:paraId="5C51F5E1">
      <w:pPr>
        <w:pStyle w:val="24"/>
        <w:numPr>
          <w:ilvl w:val="0"/>
          <w:numId w:val="0"/>
        </w:numPr>
        <w:spacing w:before="120" w:after="120"/>
      </w:pPr>
      <w:r>
        <w:rPr>
          <w:rFonts w:hint="eastAsia"/>
        </w:rPr>
        <w:t>图1品牌乡村（行政村、乡镇）评价指标体系架构图</w:t>
      </w:r>
    </w:p>
    <w:p w14:paraId="3584B22D">
      <w:pPr>
        <w:pStyle w:val="19"/>
        <w:numPr>
          <w:ilvl w:val="2"/>
          <w:numId w:val="10"/>
        </w:numPr>
        <w:spacing w:before="120" w:after="120"/>
      </w:pPr>
      <w:bookmarkStart w:id="56" w:name="_Toc228868561"/>
      <w:r>
        <w:rPr>
          <w:rFonts w:hint="eastAsia"/>
        </w:rPr>
        <w:t>品牌乡村（片区组团）评价指标体系架构图</w:t>
      </w:r>
      <w:bookmarkEnd w:id="56"/>
    </w:p>
    <w:p w14:paraId="393321E3">
      <w:pPr>
        <w:pStyle w:val="14"/>
        <w:ind w:firstLine="0" w:firstLineChars="0"/>
        <w:jc w:val="center"/>
      </w:pPr>
      <w:r>
        <w:drawing>
          <wp:inline distT="0" distB="0" distL="0" distR="0">
            <wp:extent cx="5939790" cy="2298700"/>
            <wp:effectExtent l="9525" t="9525" r="13335" b="15875"/>
            <wp:docPr id="146783655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836553" name="图片 7"/>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39790" cy="2298700"/>
                    </a:xfrm>
                    <a:prstGeom prst="rect">
                      <a:avLst/>
                    </a:prstGeom>
                    <a:ln>
                      <a:solidFill>
                        <a:srgbClr val="000000"/>
                      </a:solidFill>
                    </a:ln>
                  </pic:spPr>
                </pic:pic>
              </a:graphicData>
            </a:graphic>
          </wp:inline>
        </w:drawing>
      </w:r>
    </w:p>
    <w:p w14:paraId="2CAB7322">
      <w:pPr>
        <w:pStyle w:val="24"/>
        <w:numPr>
          <w:ilvl w:val="0"/>
          <w:numId w:val="0"/>
        </w:numPr>
        <w:spacing w:before="120" w:after="120"/>
      </w:pPr>
      <w:r>
        <w:rPr>
          <w:rFonts w:hint="eastAsia"/>
        </w:rPr>
        <w:t>图2 品牌乡村（片区组团）评价指标体系架构图</w:t>
      </w:r>
    </w:p>
    <w:p w14:paraId="486CA928">
      <w:pPr>
        <w:pStyle w:val="19"/>
        <w:spacing w:before="120" w:after="120"/>
      </w:pPr>
      <w:bookmarkStart w:id="57" w:name="_Toc228868562"/>
      <w:r>
        <w:rPr>
          <w:rFonts w:hint="eastAsia"/>
        </w:rPr>
        <w:t>指标说明</w:t>
      </w:r>
      <w:bookmarkEnd w:id="57"/>
    </w:p>
    <w:p w14:paraId="7EFE35F1">
      <w:pPr>
        <w:pStyle w:val="19"/>
        <w:numPr>
          <w:ilvl w:val="0"/>
          <w:numId w:val="0"/>
        </w:numPr>
        <w:spacing w:before="120" w:after="120"/>
      </w:pPr>
      <w:bookmarkStart w:id="58" w:name="_Toc228868563"/>
      <w:r>
        <w:rPr>
          <w:rFonts w:hint="eastAsia"/>
        </w:rPr>
        <w:t>6.3.1  品牌乡村（行政村、乡镇）</w:t>
      </w:r>
      <w:r>
        <w:t>评价指标体系说明</w:t>
      </w:r>
      <w:bookmarkEnd w:id="58"/>
    </w:p>
    <w:p w14:paraId="62D9FF88">
      <w:pPr>
        <w:pStyle w:val="25"/>
        <w:spacing w:before="120" w:after="120"/>
        <w:rPr>
          <w:rFonts w:ascii="宋体" w:eastAsia="宋体"/>
        </w:rPr>
      </w:pPr>
      <w:r>
        <w:rPr>
          <w:rFonts w:hint="eastAsia" w:ascii="宋体" w:eastAsia="宋体"/>
        </w:rPr>
        <w:t>品牌乡村（行政村、乡镇）评价指标体系说明</w:t>
      </w:r>
    </w:p>
    <w:tbl>
      <w:tblPr>
        <w:tblStyle w:val="7"/>
        <w:tblW w:w="91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5"/>
        <w:gridCol w:w="1189"/>
        <w:gridCol w:w="2271"/>
        <w:gridCol w:w="4536"/>
      </w:tblGrid>
      <w:tr w14:paraId="6CDDD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1105" w:type="dxa"/>
            <w:tcBorders>
              <w:top w:val="single" w:color="auto" w:sz="4" w:space="0"/>
              <w:left w:val="single" w:color="auto" w:sz="4" w:space="0"/>
              <w:bottom w:val="single" w:color="auto" w:sz="4" w:space="0"/>
              <w:right w:val="single" w:color="auto" w:sz="4" w:space="0"/>
            </w:tcBorders>
            <w:vAlign w:val="center"/>
          </w:tcPr>
          <w:p w14:paraId="5125DD93">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r>
              <w:rPr>
                <w:rFonts w:ascii="Times New Roman" w:hAnsi="Times New Roman" w:cs="Times New Roman"/>
                <w:b/>
                <w:bCs/>
                <w:kern w:val="2"/>
                <w:sz w:val="21"/>
                <w:szCs w:val="21"/>
              </w:rPr>
              <w:t>一级</w:t>
            </w:r>
          </w:p>
          <w:p w14:paraId="09E60AAC">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r>
              <w:rPr>
                <w:rFonts w:ascii="Times New Roman" w:hAnsi="Times New Roman" w:cs="Times New Roman"/>
                <w:b/>
                <w:bCs/>
                <w:kern w:val="2"/>
                <w:sz w:val="21"/>
                <w:szCs w:val="21"/>
              </w:rPr>
              <w:t>指标</w:t>
            </w:r>
          </w:p>
        </w:tc>
        <w:tc>
          <w:tcPr>
            <w:tcW w:w="1189" w:type="dxa"/>
            <w:tcBorders>
              <w:top w:val="single" w:color="auto" w:sz="4" w:space="0"/>
              <w:left w:val="single" w:color="auto" w:sz="4" w:space="0"/>
              <w:bottom w:val="single" w:color="auto" w:sz="4" w:space="0"/>
              <w:right w:val="single" w:color="auto" w:sz="4" w:space="0"/>
            </w:tcBorders>
            <w:vAlign w:val="center"/>
          </w:tcPr>
          <w:p w14:paraId="6AF2BA57">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r>
              <w:rPr>
                <w:rFonts w:ascii="Times New Roman" w:hAnsi="Times New Roman" w:cs="Times New Roman"/>
                <w:b/>
                <w:bCs/>
                <w:kern w:val="2"/>
                <w:sz w:val="21"/>
                <w:szCs w:val="21"/>
              </w:rPr>
              <w:t>二级</w:t>
            </w:r>
          </w:p>
          <w:p w14:paraId="59342506">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r>
              <w:rPr>
                <w:rFonts w:ascii="Times New Roman" w:hAnsi="Times New Roman" w:cs="Times New Roman"/>
                <w:b/>
                <w:bCs/>
                <w:kern w:val="2"/>
                <w:sz w:val="21"/>
                <w:szCs w:val="21"/>
              </w:rPr>
              <w:t>指标</w:t>
            </w:r>
          </w:p>
        </w:tc>
        <w:tc>
          <w:tcPr>
            <w:tcW w:w="2271" w:type="dxa"/>
            <w:tcBorders>
              <w:top w:val="single" w:color="auto" w:sz="4" w:space="0"/>
              <w:left w:val="single" w:color="auto" w:sz="4" w:space="0"/>
              <w:bottom w:val="single" w:color="auto" w:sz="4" w:space="0"/>
              <w:right w:val="single" w:color="auto" w:sz="4" w:space="0"/>
            </w:tcBorders>
            <w:vAlign w:val="center"/>
          </w:tcPr>
          <w:p w14:paraId="0828DBFC">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r>
              <w:rPr>
                <w:rFonts w:ascii="Times New Roman" w:hAnsi="Times New Roman" w:cs="Times New Roman"/>
                <w:b/>
                <w:bCs/>
                <w:kern w:val="2"/>
                <w:sz w:val="21"/>
                <w:szCs w:val="21"/>
              </w:rPr>
              <w:t>三级</w:t>
            </w:r>
          </w:p>
          <w:p w14:paraId="407D4E64">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r>
              <w:rPr>
                <w:rFonts w:ascii="Times New Roman" w:hAnsi="Times New Roman" w:cs="Times New Roman"/>
                <w:b/>
                <w:bCs/>
                <w:kern w:val="2"/>
                <w:sz w:val="21"/>
                <w:szCs w:val="21"/>
              </w:rPr>
              <w:t>指标</w:t>
            </w:r>
          </w:p>
        </w:tc>
        <w:tc>
          <w:tcPr>
            <w:tcW w:w="4536" w:type="dxa"/>
            <w:tcBorders>
              <w:top w:val="single" w:color="auto" w:sz="4" w:space="0"/>
              <w:left w:val="single" w:color="auto" w:sz="4" w:space="0"/>
              <w:bottom w:val="single" w:color="auto" w:sz="4" w:space="0"/>
              <w:right w:val="single" w:color="auto" w:sz="4" w:space="0"/>
            </w:tcBorders>
            <w:vAlign w:val="center"/>
          </w:tcPr>
          <w:p w14:paraId="22352BCB">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r>
              <w:rPr>
                <w:rFonts w:ascii="Times New Roman" w:hAnsi="Times New Roman" w:cs="Times New Roman"/>
                <w:b/>
                <w:bCs/>
                <w:kern w:val="2"/>
                <w:sz w:val="21"/>
                <w:szCs w:val="21"/>
              </w:rPr>
              <w:t>指标说明</w:t>
            </w:r>
          </w:p>
        </w:tc>
      </w:tr>
      <w:tr w14:paraId="05D68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05" w:type="dxa"/>
            <w:vMerge w:val="restart"/>
            <w:tcBorders>
              <w:top w:val="single" w:color="auto" w:sz="4" w:space="0"/>
              <w:left w:val="single" w:color="auto" w:sz="4" w:space="0"/>
              <w:right w:val="single" w:color="auto" w:sz="4" w:space="0"/>
            </w:tcBorders>
            <w:vAlign w:val="center"/>
          </w:tcPr>
          <w:p w14:paraId="161A7F49">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r>
              <w:rPr>
                <w:rFonts w:ascii="Times New Roman" w:hAnsi="Times New Roman" w:cs="Times New Roman"/>
                <w:b/>
                <w:bCs/>
                <w:kern w:val="2"/>
                <w:sz w:val="21"/>
                <w:szCs w:val="21"/>
              </w:rPr>
              <w:t>品牌</w:t>
            </w:r>
          </w:p>
          <w:p w14:paraId="16E4E82F">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ascii="Times New Roman" w:hAnsi="Times New Roman" w:cs="Times New Roman"/>
                <w:b/>
                <w:bCs/>
                <w:kern w:val="2"/>
                <w:sz w:val="21"/>
                <w:szCs w:val="21"/>
              </w:rPr>
              <w:t>基础要素</w:t>
            </w:r>
          </w:p>
        </w:tc>
        <w:tc>
          <w:tcPr>
            <w:tcW w:w="1189" w:type="dxa"/>
            <w:vMerge w:val="restart"/>
            <w:tcBorders>
              <w:top w:val="single" w:color="auto" w:sz="4" w:space="0"/>
              <w:left w:val="single" w:color="auto" w:sz="4" w:space="0"/>
              <w:right w:val="single" w:color="auto" w:sz="4" w:space="0"/>
            </w:tcBorders>
            <w:vAlign w:val="center"/>
          </w:tcPr>
          <w:p w14:paraId="66AC1F6D">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18"/>
                <w:szCs w:val="18"/>
              </w:rPr>
            </w:pPr>
            <w:r>
              <w:rPr>
                <w:rFonts w:hint="eastAsia" w:ascii="Times New Roman" w:hAnsi="Times New Roman" w:cs="Times New Roman"/>
                <w:b/>
                <w:bCs/>
                <w:kern w:val="2"/>
                <w:sz w:val="18"/>
                <w:szCs w:val="18"/>
              </w:rPr>
              <w:t>资源禀赋</w:t>
            </w:r>
          </w:p>
        </w:tc>
        <w:tc>
          <w:tcPr>
            <w:tcW w:w="2271" w:type="dxa"/>
            <w:tcBorders>
              <w:top w:val="single" w:color="auto" w:sz="4" w:space="0"/>
              <w:left w:val="single" w:color="auto" w:sz="4" w:space="0"/>
              <w:bottom w:val="single" w:color="auto" w:sz="4" w:space="0"/>
              <w:right w:val="single" w:color="auto" w:sz="4" w:space="0"/>
            </w:tcBorders>
            <w:vAlign w:val="center"/>
          </w:tcPr>
          <w:p w14:paraId="743E75F5">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ascii="Times New Roman" w:hAnsi="Times New Roman" w:cs="Times New Roman"/>
                <w:kern w:val="2"/>
                <w:sz w:val="18"/>
                <w:szCs w:val="18"/>
              </w:rPr>
              <w:t>村容村貌和谐度</w:t>
            </w:r>
          </w:p>
        </w:tc>
        <w:tc>
          <w:tcPr>
            <w:tcW w:w="4536" w:type="dxa"/>
            <w:tcBorders>
              <w:top w:val="single" w:color="auto" w:sz="4" w:space="0"/>
              <w:left w:val="single" w:color="auto" w:sz="4" w:space="0"/>
              <w:right w:val="single" w:color="auto" w:sz="4" w:space="0"/>
            </w:tcBorders>
            <w:vAlign w:val="center"/>
          </w:tcPr>
          <w:p w14:paraId="1B401E49">
            <w:pPr>
              <w:pStyle w:val="6"/>
              <w:tabs>
                <w:tab w:val="center" w:pos="4201"/>
                <w:tab w:val="right" w:leader="dot" w:pos="9298"/>
              </w:tabs>
              <w:autoSpaceDE w:val="0"/>
              <w:autoSpaceDN w:val="0"/>
              <w:adjustRightInd w:val="0"/>
              <w:snapToGrid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村容村貌</w:t>
            </w:r>
            <w:r>
              <w:rPr>
                <w:rFonts w:ascii="Times New Roman" w:hAnsi="Times New Roman" w:cs="Times New Roman"/>
                <w:kern w:val="2"/>
                <w:sz w:val="18"/>
                <w:szCs w:val="18"/>
              </w:rPr>
              <w:t>规划、建筑的</w:t>
            </w:r>
            <w:r>
              <w:rPr>
                <w:rFonts w:hint="eastAsia" w:ascii="Times New Roman" w:hAnsi="Times New Roman" w:cs="Times New Roman"/>
                <w:kern w:val="2"/>
                <w:sz w:val="18"/>
                <w:szCs w:val="18"/>
              </w:rPr>
              <w:t>完整度、和谐度</w:t>
            </w:r>
            <w:r>
              <w:rPr>
                <w:rFonts w:ascii="Times New Roman" w:hAnsi="Times New Roman" w:cs="Times New Roman"/>
                <w:kern w:val="2"/>
                <w:sz w:val="18"/>
                <w:szCs w:val="18"/>
              </w:rPr>
              <w:t>，呼应品牌乡村的主题要求，尊重村容村貌历史文化特征，没有明显的人为破坏</w:t>
            </w:r>
            <w:r>
              <w:rPr>
                <w:rFonts w:hint="eastAsia" w:ascii="Times New Roman" w:hAnsi="Times New Roman" w:cs="Times New Roman"/>
                <w:kern w:val="2"/>
                <w:sz w:val="18"/>
                <w:szCs w:val="18"/>
              </w:rPr>
              <w:t>。</w:t>
            </w:r>
          </w:p>
        </w:tc>
      </w:tr>
      <w:tr w14:paraId="60A72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05" w:type="dxa"/>
            <w:vMerge w:val="continue"/>
            <w:tcBorders>
              <w:left w:val="single" w:color="auto" w:sz="4" w:space="0"/>
              <w:right w:val="single" w:color="auto" w:sz="4" w:space="0"/>
            </w:tcBorders>
            <w:vAlign w:val="center"/>
          </w:tcPr>
          <w:p w14:paraId="12229131">
            <w:pPr>
              <w:spacing w:line="240" w:lineRule="auto"/>
              <w:jc w:val="center"/>
              <w:rPr>
                <w:rFonts w:ascii="Times New Roman" w:hAnsi="Times New Roman"/>
                <w:sz w:val="18"/>
                <w:szCs w:val="18"/>
              </w:rPr>
            </w:pPr>
          </w:p>
        </w:tc>
        <w:tc>
          <w:tcPr>
            <w:tcW w:w="1189" w:type="dxa"/>
            <w:vMerge w:val="continue"/>
            <w:tcBorders>
              <w:left w:val="single" w:color="auto" w:sz="4" w:space="0"/>
              <w:right w:val="single" w:color="auto" w:sz="4" w:space="0"/>
            </w:tcBorders>
            <w:vAlign w:val="center"/>
          </w:tcPr>
          <w:p w14:paraId="5328C05E">
            <w:pPr>
              <w:spacing w:line="240" w:lineRule="auto"/>
              <w:jc w:val="center"/>
              <w:rPr>
                <w:rFonts w:ascii="Times New Roman" w:hAnsi="Times New Roman"/>
                <w:b/>
                <w:bCs/>
                <w:sz w:val="18"/>
                <w:szCs w:val="18"/>
              </w:rPr>
            </w:pPr>
          </w:p>
        </w:tc>
        <w:tc>
          <w:tcPr>
            <w:tcW w:w="2271" w:type="dxa"/>
            <w:tcBorders>
              <w:top w:val="single" w:color="auto" w:sz="4" w:space="0"/>
              <w:left w:val="single" w:color="auto" w:sz="4" w:space="0"/>
              <w:bottom w:val="single" w:color="auto" w:sz="4" w:space="0"/>
              <w:right w:val="single" w:color="auto" w:sz="4" w:space="0"/>
            </w:tcBorders>
            <w:vAlign w:val="center"/>
          </w:tcPr>
          <w:p w14:paraId="5D68BF7F">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ascii="Times New Roman" w:hAnsi="Times New Roman" w:cs="Times New Roman"/>
                <w:kern w:val="2"/>
                <w:sz w:val="18"/>
                <w:szCs w:val="18"/>
              </w:rPr>
              <w:t>村容村貌独特性</w:t>
            </w:r>
          </w:p>
        </w:tc>
        <w:tc>
          <w:tcPr>
            <w:tcW w:w="4536" w:type="dxa"/>
            <w:tcBorders>
              <w:left w:val="single" w:color="auto" w:sz="4" w:space="0"/>
              <w:bottom w:val="single" w:color="auto" w:sz="4" w:space="0"/>
              <w:right w:val="single" w:color="auto" w:sz="4" w:space="0"/>
            </w:tcBorders>
            <w:vAlign w:val="center"/>
          </w:tcPr>
          <w:p w14:paraId="168753D0">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ascii="Times New Roman" w:hAnsi="Times New Roman" w:cs="Times New Roman"/>
                <w:kern w:val="2"/>
                <w:sz w:val="18"/>
                <w:szCs w:val="18"/>
              </w:rPr>
              <w:t>村容</w:t>
            </w:r>
            <w:r>
              <w:rPr>
                <w:rFonts w:hint="eastAsia" w:ascii="Times New Roman" w:hAnsi="Times New Roman" w:cs="Times New Roman"/>
                <w:kern w:val="2"/>
                <w:sz w:val="18"/>
                <w:szCs w:val="18"/>
              </w:rPr>
              <w:t>村貌</w:t>
            </w:r>
            <w:r>
              <w:rPr>
                <w:rFonts w:ascii="Times New Roman" w:hAnsi="Times New Roman" w:cs="Times New Roman"/>
                <w:kern w:val="2"/>
                <w:sz w:val="18"/>
                <w:szCs w:val="18"/>
              </w:rPr>
              <w:t>呈现自身特色与个性</w:t>
            </w:r>
            <w:r>
              <w:rPr>
                <w:rFonts w:hint="eastAsia" w:ascii="Times New Roman" w:hAnsi="Times New Roman" w:cs="Times New Roman"/>
                <w:kern w:val="2"/>
                <w:sz w:val="18"/>
                <w:szCs w:val="18"/>
              </w:rPr>
              <w:t>，</w:t>
            </w:r>
            <w:r>
              <w:rPr>
                <w:rFonts w:ascii="Times New Roman" w:hAnsi="Times New Roman" w:cs="Times New Roman"/>
                <w:kern w:val="2"/>
                <w:sz w:val="18"/>
                <w:szCs w:val="18"/>
              </w:rPr>
              <w:t>有不同于</w:t>
            </w:r>
            <w:r>
              <w:rPr>
                <w:rFonts w:hint="eastAsia" w:ascii="Times New Roman" w:hAnsi="Times New Roman" w:cs="Times New Roman"/>
                <w:kern w:val="2"/>
                <w:sz w:val="18"/>
                <w:szCs w:val="18"/>
              </w:rPr>
              <w:t>其它</w:t>
            </w:r>
            <w:r>
              <w:rPr>
                <w:rFonts w:ascii="Times New Roman" w:hAnsi="Times New Roman" w:cs="Times New Roman"/>
                <w:kern w:val="2"/>
                <w:sz w:val="18"/>
                <w:szCs w:val="18"/>
              </w:rPr>
              <w:t>乡村的建筑风格、自然景观、地理地貌、村落格局、人文地标等</w:t>
            </w:r>
            <w:r>
              <w:rPr>
                <w:rFonts w:hint="eastAsia" w:ascii="Times New Roman" w:hAnsi="Times New Roman" w:cs="Times New Roman"/>
                <w:kern w:val="2"/>
                <w:sz w:val="18"/>
                <w:szCs w:val="18"/>
              </w:rPr>
              <w:t>。</w:t>
            </w:r>
          </w:p>
        </w:tc>
      </w:tr>
      <w:tr w14:paraId="07028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1105" w:type="dxa"/>
            <w:vMerge w:val="continue"/>
            <w:tcBorders>
              <w:left w:val="single" w:color="auto" w:sz="4" w:space="0"/>
              <w:right w:val="single" w:color="auto" w:sz="4" w:space="0"/>
            </w:tcBorders>
            <w:vAlign w:val="center"/>
          </w:tcPr>
          <w:p w14:paraId="06F22D85">
            <w:pPr>
              <w:spacing w:line="240" w:lineRule="auto"/>
              <w:jc w:val="center"/>
              <w:rPr>
                <w:rFonts w:ascii="Times New Roman" w:hAnsi="Times New Roman"/>
                <w:sz w:val="18"/>
                <w:szCs w:val="18"/>
              </w:rPr>
            </w:pPr>
          </w:p>
        </w:tc>
        <w:tc>
          <w:tcPr>
            <w:tcW w:w="1189" w:type="dxa"/>
            <w:vMerge w:val="continue"/>
            <w:tcBorders>
              <w:left w:val="single" w:color="auto" w:sz="4" w:space="0"/>
              <w:right w:val="single" w:color="auto" w:sz="4" w:space="0"/>
            </w:tcBorders>
            <w:vAlign w:val="center"/>
          </w:tcPr>
          <w:p w14:paraId="13C8ECA2">
            <w:pPr>
              <w:spacing w:line="240" w:lineRule="auto"/>
              <w:jc w:val="center"/>
              <w:rPr>
                <w:rFonts w:ascii="Times New Roman" w:hAnsi="Times New Roman"/>
                <w:b/>
                <w:bCs/>
                <w:sz w:val="18"/>
                <w:szCs w:val="18"/>
              </w:rPr>
            </w:pPr>
          </w:p>
        </w:tc>
        <w:tc>
          <w:tcPr>
            <w:tcW w:w="2271" w:type="dxa"/>
            <w:tcBorders>
              <w:top w:val="single" w:color="auto" w:sz="4" w:space="0"/>
              <w:left w:val="single" w:color="auto" w:sz="4" w:space="0"/>
              <w:bottom w:val="single" w:color="auto" w:sz="4" w:space="0"/>
              <w:right w:val="single" w:color="auto" w:sz="4" w:space="0"/>
            </w:tcBorders>
            <w:vAlign w:val="center"/>
          </w:tcPr>
          <w:p w14:paraId="1E2AC7DD">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ascii="Times New Roman" w:hAnsi="Times New Roman" w:cs="Times New Roman"/>
                <w:kern w:val="2"/>
                <w:sz w:val="18"/>
                <w:szCs w:val="18"/>
              </w:rPr>
              <w:t>历史人文特色</w:t>
            </w:r>
          </w:p>
        </w:tc>
        <w:tc>
          <w:tcPr>
            <w:tcW w:w="4536" w:type="dxa"/>
            <w:tcBorders>
              <w:top w:val="single" w:color="auto" w:sz="4" w:space="0"/>
              <w:left w:val="single" w:color="auto" w:sz="4" w:space="0"/>
              <w:bottom w:val="single" w:color="auto" w:sz="4" w:space="0"/>
              <w:right w:val="single" w:color="auto" w:sz="4" w:space="0"/>
            </w:tcBorders>
            <w:vAlign w:val="center"/>
          </w:tcPr>
          <w:p w14:paraId="6A4227EC">
            <w:pPr>
              <w:widowControl/>
              <w:tabs>
                <w:tab w:val="center" w:pos="4201"/>
                <w:tab w:val="right" w:leader="dot" w:pos="9298"/>
              </w:tabs>
              <w:autoSpaceDE w:val="0"/>
              <w:autoSpaceDN w:val="0"/>
              <w:spacing w:line="240" w:lineRule="auto"/>
              <w:rPr>
                <w:rFonts w:ascii="Times New Roman" w:hAnsi="Times New Roman"/>
                <w:sz w:val="18"/>
                <w:szCs w:val="18"/>
              </w:rPr>
            </w:pPr>
            <w:r>
              <w:rPr>
                <w:rFonts w:ascii="Times New Roman" w:hAnsi="Times New Roman"/>
                <w:sz w:val="18"/>
                <w:szCs w:val="18"/>
              </w:rPr>
              <w:t>拥有历史遗迹、民俗节庆、非遗传承、文化名人等人文资源</w:t>
            </w:r>
            <w:r>
              <w:rPr>
                <w:rFonts w:hint="eastAsia" w:ascii="Times New Roman" w:hAnsi="Times New Roman"/>
                <w:sz w:val="18"/>
                <w:szCs w:val="18"/>
              </w:rPr>
              <w:t>。</w:t>
            </w:r>
          </w:p>
        </w:tc>
      </w:tr>
      <w:tr w14:paraId="3C091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1105" w:type="dxa"/>
            <w:vMerge w:val="continue"/>
            <w:tcBorders>
              <w:left w:val="single" w:color="auto" w:sz="4" w:space="0"/>
              <w:right w:val="single" w:color="auto" w:sz="4" w:space="0"/>
            </w:tcBorders>
            <w:vAlign w:val="center"/>
          </w:tcPr>
          <w:p w14:paraId="0671BAB1">
            <w:pPr>
              <w:spacing w:line="240" w:lineRule="auto"/>
              <w:jc w:val="center"/>
              <w:rPr>
                <w:rFonts w:ascii="Times New Roman" w:hAnsi="Times New Roman"/>
                <w:sz w:val="18"/>
                <w:szCs w:val="18"/>
              </w:rPr>
            </w:pPr>
          </w:p>
        </w:tc>
        <w:tc>
          <w:tcPr>
            <w:tcW w:w="1189" w:type="dxa"/>
            <w:vMerge w:val="continue"/>
            <w:tcBorders>
              <w:left w:val="single" w:color="auto" w:sz="4" w:space="0"/>
              <w:bottom w:val="single" w:color="auto" w:sz="4" w:space="0"/>
              <w:right w:val="single" w:color="auto" w:sz="4" w:space="0"/>
            </w:tcBorders>
            <w:vAlign w:val="center"/>
          </w:tcPr>
          <w:p w14:paraId="5413D19F">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18"/>
                <w:szCs w:val="18"/>
              </w:rPr>
            </w:pPr>
          </w:p>
        </w:tc>
        <w:tc>
          <w:tcPr>
            <w:tcW w:w="2271" w:type="dxa"/>
            <w:tcBorders>
              <w:left w:val="single" w:color="auto" w:sz="4" w:space="0"/>
              <w:bottom w:val="single" w:color="auto" w:sz="4" w:space="0"/>
              <w:right w:val="single" w:color="auto" w:sz="4" w:space="0"/>
            </w:tcBorders>
            <w:vAlign w:val="center"/>
          </w:tcPr>
          <w:p w14:paraId="175D98E1">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ascii="Times New Roman" w:hAnsi="Times New Roman" w:cs="Times New Roman"/>
                <w:kern w:val="2"/>
                <w:sz w:val="18"/>
                <w:szCs w:val="18"/>
              </w:rPr>
              <w:t>产业及</w:t>
            </w:r>
            <w:r>
              <w:rPr>
                <w:rFonts w:hint="eastAsia" w:ascii="Times New Roman" w:hAnsi="Times New Roman" w:cs="Times New Roman"/>
                <w:kern w:val="2"/>
                <w:sz w:val="18"/>
                <w:szCs w:val="18"/>
              </w:rPr>
              <w:t>其它资源特</w:t>
            </w:r>
            <w:r>
              <w:rPr>
                <w:rFonts w:ascii="Times New Roman" w:hAnsi="Times New Roman" w:cs="Times New Roman"/>
                <w:kern w:val="2"/>
                <w:sz w:val="18"/>
                <w:szCs w:val="18"/>
              </w:rPr>
              <w:t>色</w:t>
            </w:r>
          </w:p>
        </w:tc>
        <w:tc>
          <w:tcPr>
            <w:tcW w:w="4536" w:type="dxa"/>
            <w:tcBorders>
              <w:left w:val="single" w:color="auto" w:sz="4" w:space="0"/>
              <w:bottom w:val="single" w:color="auto" w:sz="4" w:space="0"/>
              <w:right w:val="single" w:color="auto" w:sz="4" w:space="0"/>
            </w:tcBorders>
            <w:vAlign w:val="center"/>
          </w:tcPr>
          <w:p w14:paraId="7CBEBA97">
            <w:pPr>
              <w:widowControl/>
              <w:tabs>
                <w:tab w:val="center" w:pos="4201"/>
                <w:tab w:val="right" w:leader="dot" w:pos="9298"/>
              </w:tabs>
              <w:autoSpaceDE w:val="0"/>
              <w:autoSpaceDN w:val="0"/>
              <w:spacing w:line="240" w:lineRule="auto"/>
              <w:rPr>
                <w:rFonts w:ascii="Times New Roman" w:hAnsi="Times New Roman"/>
                <w:sz w:val="18"/>
                <w:szCs w:val="18"/>
              </w:rPr>
            </w:pPr>
            <w:r>
              <w:rPr>
                <w:rFonts w:ascii="Times New Roman" w:hAnsi="Times New Roman"/>
                <w:sz w:val="18"/>
                <w:szCs w:val="18"/>
              </w:rPr>
              <w:t>水质、土壤、空气、气候宜居度、植被覆盖率、噪音干扰、特色产业等自然资源</w:t>
            </w:r>
            <w:r>
              <w:rPr>
                <w:rFonts w:hint="eastAsia" w:ascii="Times New Roman" w:hAnsi="Times New Roman"/>
                <w:sz w:val="18"/>
                <w:szCs w:val="18"/>
              </w:rPr>
              <w:t>情况。</w:t>
            </w:r>
          </w:p>
        </w:tc>
      </w:tr>
      <w:tr w14:paraId="5FEAD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1105" w:type="dxa"/>
            <w:vMerge w:val="continue"/>
            <w:tcBorders>
              <w:left w:val="single" w:color="auto" w:sz="4" w:space="0"/>
              <w:right w:val="single" w:color="auto" w:sz="4" w:space="0"/>
            </w:tcBorders>
            <w:vAlign w:val="center"/>
          </w:tcPr>
          <w:p w14:paraId="44DC5BF2">
            <w:pPr>
              <w:spacing w:line="240" w:lineRule="auto"/>
              <w:jc w:val="center"/>
              <w:rPr>
                <w:rFonts w:ascii="Times New Roman" w:hAnsi="Times New Roman"/>
                <w:sz w:val="18"/>
                <w:szCs w:val="18"/>
              </w:rPr>
            </w:pPr>
          </w:p>
        </w:tc>
        <w:tc>
          <w:tcPr>
            <w:tcW w:w="1189" w:type="dxa"/>
            <w:vMerge w:val="restart"/>
            <w:tcBorders>
              <w:top w:val="single" w:color="auto" w:sz="4" w:space="0"/>
              <w:left w:val="single" w:color="auto" w:sz="4" w:space="0"/>
              <w:right w:val="single" w:color="auto" w:sz="4" w:space="0"/>
            </w:tcBorders>
            <w:vAlign w:val="center"/>
          </w:tcPr>
          <w:p w14:paraId="54C022F0">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18"/>
                <w:szCs w:val="18"/>
              </w:rPr>
            </w:pPr>
            <w:r>
              <w:rPr>
                <w:rFonts w:ascii="Times New Roman" w:hAnsi="Times New Roman" w:cs="Times New Roman"/>
                <w:b/>
                <w:bCs/>
                <w:kern w:val="2"/>
                <w:sz w:val="18"/>
                <w:szCs w:val="18"/>
              </w:rPr>
              <w:t>社会</w:t>
            </w:r>
            <w:r>
              <w:rPr>
                <w:rFonts w:hint="eastAsia" w:ascii="Times New Roman" w:hAnsi="Times New Roman" w:cs="Times New Roman"/>
                <w:b/>
                <w:bCs/>
                <w:kern w:val="2"/>
                <w:sz w:val="18"/>
                <w:szCs w:val="18"/>
              </w:rPr>
              <w:t>治理</w:t>
            </w:r>
          </w:p>
        </w:tc>
        <w:tc>
          <w:tcPr>
            <w:tcW w:w="2271" w:type="dxa"/>
            <w:tcBorders>
              <w:top w:val="single" w:color="auto" w:sz="4" w:space="0"/>
              <w:left w:val="single" w:color="auto" w:sz="4" w:space="0"/>
              <w:bottom w:val="single" w:color="auto" w:sz="4" w:space="0"/>
              <w:right w:val="single" w:color="auto" w:sz="4" w:space="0"/>
            </w:tcBorders>
            <w:vAlign w:val="center"/>
          </w:tcPr>
          <w:p w14:paraId="6A092AB9">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ascii="Times New Roman" w:hAnsi="Times New Roman" w:cs="Times New Roman"/>
                <w:kern w:val="2"/>
                <w:sz w:val="18"/>
                <w:szCs w:val="18"/>
              </w:rPr>
              <w:t>组织保障</w:t>
            </w:r>
          </w:p>
        </w:tc>
        <w:tc>
          <w:tcPr>
            <w:tcW w:w="4536" w:type="dxa"/>
            <w:tcBorders>
              <w:top w:val="single" w:color="auto" w:sz="4" w:space="0"/>
              <w:left w:val="single" w:color="auto" w:sz="4" w:space="0"/>
              <w:right w:val="single" w:color="auto" w:sz="4" w:space="0"/>
            </w:tcBorders>
            <w:vAlign w:val="center"/>
          </w:tcPr>
          <w:p w14:paraId="7CB8FDBB">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有</w:t>
            </w:r>
            <w:r>
              <w:rPr>
                <w:rFonts w:ascii="Times New Roman" w:hAnsi="Times New Roman" w:cs="Times New Roman"/>
                <w:kern w:val="2"/>
                <w:sz w:val="18"/>
                <w:szCs w:val="18"/>
              </w:rPr>
              <w:t>党支部，</w:t>
            </w:r>
            <w:r>
              <w:rPr>
                <w:rFonts w:hint="eastAsia" w:ascii="Times New Roman" w:hAnsi="Times New Roman" w:cs="Times New Roman"/>
                <w:kern w:val="2"/>
                <w:sz w:val="18"/>
                <w:szCs w:val="18"/>
              </w:rPr>
              <w:t>能</w:t>
            </w:r>
            <w:r>
              <w:rPr>
                <w:rFonts w:ascii="Times New Roman" w:hAnsi="Times New Roman" w:cs="Times New Roman"/>
                <w:kern w:val="2"/>
                <w:sz w:val="18"/>
                <w:szCs w:val="18"/>
              </w:rPr>
              <w:t>定期开展理论学习，</w:t>
            </w:r>
            <w:r>
              <w:rPr>
                <w:rFonts w:hint="eastAsia" w:ascii="Times New Roman" w:hAnsi="Times New Roman" w:cs="Times New Roman"/>
                <w:kern w:val="2"/>
                <w:sz w:val="18"/>
                <w:szCs w:val="18"/>
              </w:rPr>
              <w:t>并</w:t>
            </w:r>
            <w:r>
              <w:rPr>
                <w:rFonts w:ascii="Times New Roman" w:hAnsi="Times New Roman" w:cs="Times New Roman"/>
                <w:kern w:val="2"/>
                <w:sz w:val="18"/>
                <w:szCs w:val="18"/>
              </w:rPr>
              <w:t>在村务中发挥关键引领作用</w:t>
            </w:r>
            <w:r>
              <w:rPr>
                <w:rFonts w:hint="eastAsia" w:ascii="Times New Roman" w:hAnsi="Times New Roman" w:cs="Times New Roman"/>
                <w:kern w:val="2"/>
                <w:sz w:val="18"/>
                <w:szCs w:val="18"/>
              </w:rPr>
              <w:t>。</w:t>
            </w:r>
          </w:p>
        </w:tc>
      </w:tr>
      <w:tr w14:paraId="5DDA0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1105" w:type="dxa"/>
            <w:vMerge w:val="continue"/>
            <w:tcBorders>
              <w:left w:val="single" w:color="auto" w:sz="4" w:space="0"/>
              <w:right w:val="single" w:color="auto" w:sz="4" w:space="0"/>
            </w:tcBorders>
            <w:vAlign w:val="center"/>
          </w:tcPr>
          <w:p w14:paraId="4F8C4A00">
            <w:pPr>
              <w:spacing w:line="240" w:lineRule="auto"/>
              <w:jc w:val="center"/>
              <w:rPr>
                <w:rFonts w:ascii="Times New Roman" w:hAnsi="Times New Roman"/>
                <w:sz w:val="18"/>
                <w:szCs w:val="18"/>
              </w:rPr>
            </w:pPr>
          </w:p>
        </w:tc>
        <w:tc>
          <w:tcPr>
            <w:tcW w:w="1189" w:type="dxa"/>
            <w:vMerge w:val="continue"/>
            <w:tcBorders>
              <w:left w:val="single" w:color="auto" w:sz="4" w:space="0"/>
              <w:right w:val="single" w:color="auto" w:sz="4" w:space="0"/>
            </w:tcBorders>
            <w:vAlign w:val="center"/>
          </w:tcPr>
          <w:p w14:paraId="53FFC2CE">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p>
        </w:tc>
        <w:tc>
          <w:tcPr>
            <w:tcW w:w="2271" w:type="dxa"/>
            <w:tcBorders>
              <w:top w:val="single" w:color="auto" w:sz="4" w:space="0"/>
              <w:left w:val="single" w:color="auto" w:sz="4" w:space="0"/>
              <w:bottom w:val="single" w:color="auto" w:sz="4" w:space="0"/>
              <w:right w:val="single" w:color="auto" w:sz="4" w:space="0"/>
            </w:tcBorders>
            <w:vAlign w:val="center"/>
          </w:tcPr>
          <w:p w14:paraId="15E14CC1">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ascii="Times New Roman" w:hAnsi="Times New Roman" w:cs="Times New Roman"/>
                <w:kern w:val="2"/>
                <w:sz w:val="18"/>
                <w:szCs w:val="18"/>
              </w:rPr>
              <w:t>村民自治</w:t>
            </w:r>
          </w:p>
        </w:tc>
        <w:tc>
          <w:tcPr>
            <w:tcW w:w="4536" w:type="dxa"/>
            <w:tcBorders>
              <w:top w:val="single" w:color="auto" w:sz="4" w:space="0"/>
              <w:left w:val="single" w:color="auto" w:sz="4" w:space="0"/>
              <w:right w:val="single" w:color="auto" w:sz="4" w:space="0"/>
            </w:tcBorders>
            <w:vAlign w:val="center"/>
          </w:tcPr>
          <w:p w14:paraId="7F4A3B83">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有</w:t>
            </w:r>
            <w:r>
              <w:rPr>
                <w:rFonts w:ascii="Times New Roman" w:hAnsi="Times New Roman" w:cs="Times New Roman"/>
                <w:kern w:val="2"/>
                <w:sz w:val="18"/>
                <w:szCs w:val="18"/>
              </w:rPr>
              <w:t>村务公开栏，有村务议事制度，村民村务参与率，村委村民关系和谐度</w:t>
            </w:r>
            <w:r>
              <w:rPr>
                <w:rFonts w:hint="eastAsia" w:ascii="Times New Roman" w:hAnsi="Times New Roman" w:cs="Times New Roman"/>
                <w:kern w:val="2"/>
                <w:sz w:val="18"/>
                <w:szCs w:val="18"/>
              </w:rPr>
              <w:t>等。</w:t>
            </w:r>
          </w:p>
        </w:tc>
      </w:tr>
      <w:tr w14:paraId="3F7F8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1105" w:type="dxa"/>
            <w:vMerge w:val="continue"/>
            <w:tcBorders>
              <w:left w:val="single" w:color="auto" w:sz="4" w:space="0"/>
              <w:right w:val="single" w:color="auto" w:sz="4" w:space="0"/>
            </w:tcBorders>
            <w:vAlign w:val="center"/>
          </w:tcPr>
          <w:p w14:paraId="0F7E679F">
            <w:pPr>
              <w:spacing w:line="240" w:lineRule="auto"/>
              <w:jc w:val="center"/>
              <w:rPr>
                <w:rFonts w:ascii="Times New Roman" w:hAnsi="Times New Roman"/>
                <w:sz w:val="18"/>
                <w:szCs w:val="18"/>
              </w:rPr>
            </w:pPr>
          </w:p>
        </w:tc>
        <w:tc>
          <w:tcPr>
            <w:tcW w:w="1189" w:type="dxa"/>
            <w:vMerge w:val="restart"/>
            <w:tcBorders>
              <w:left w:val="single" w:color="auto" w:sz="4" w:space="0"/>
              <w:right w:val="single" w:color="auto" w:sz="4" w:space="0"/>
            </w:tcBorders>
            <w:vAlign w:val="center"/>
          </w:tcPr>
          <w:p w14:paraId="7F59ED37">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18"/>
                <w:szCs w:val="18"/>
              </w:rPr>
            </w:pPr>
            <w:r>
              <w:rPr>
                <w:rFonts w:ascii="Times New Roman" w:hAnsi="Times New Roman" w:cs="Times New Roman"/>
                <w:b/>
                <w:bCs/>
                <w:kern w:val="2"/>
                <w:sz w:val="18"/>
                <w:szCs w:val="18"/>
              </w:rPr>
              <w:t>设施建设</w:t>
            </w:r>
          </w:p>
        </w:tc>
        <w:tc>
          <w:tcPr>
            <w:tcW w:w="2271" w:type="dxa"/>
            <w:tcBorders>
              <w:top w:val="single" w:color="auto" w:sz="4" w:space="0"/>
              <w:left w:val="single" w:color="auto" w:sz="4" w:space="0"/>
              <w:bottom w:val="single" w:color="auto" w:sz="4" w:space="0"/>
              <w:right w:val="single" w:color="auto" w:sz="4" w:space="0"/>
            </w:tcBorders>
            <w:vAlign w:val="center"/>
          </w:tcPr>
          <w:p w14:paraId="37EE487F">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ascii="Times New Roman" w:hAnsi="Times New Roman" w:cs="Times New Roman"/>
                <w:kern w:val="2"/>
                <w:sz w:val="18"/>
                <w:szCs w:val="18"/>
              </w:rPr>
              <w:t>基础设施</w:t>
            </w:r>
          </w:p>
        </w:tc>
        <w:tc>
          <w:tcPr>
            <w:tcW w:w="4536" w:type="dxa"/>
            <w:tcBorders>
              <w:left w:val="single" w:color="auto" w:sz="4" w:space="0"/>
              <w:bottom w:val="single" w:color="auto" w:sz="4" w:space="0"/>
              <w:right w:val="single" w:color="auto" w:sz="4" w:space="0"/>
            </w:tcBorders>
            <w:vAlign w:val="center"/>
          </w:tcPr>
          <w:p w14:paraId="4B60112B">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ascii="Times New Roman" w:hAnsi="Times New Roman" w:cs="Times New Roman"/>
                <w:kern w:val="2"/>
                <w:sz w:val="18"/>
                <w:szCs w:val="18"/>
              </w:rPr>
              <w:t>村内道路、电网、物流、通信信号、公共设施等</w:t>
            </w:r>
            <w:r>
              <w:rPr>
                <w:rFonts w:hint="eastAsia" w:ascii="Times New Roman" w:hAnsi="Times New Roman" w:cs="Times New Roman"/>
                <w:kern w:val="2"/>
                <w:sz w:val="18"/>
                <w:szCs w:val="18"/>
              </w:rPr>
              <w:t>。</w:t>
            </w:r>
          </w:p>
        </w:tc>
      </w:tr>
      <w:tr w14:paraId="1EF93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1105" w:type="dxa"/>
            <w:vMerge w:val="continue"/>
            <w:tcBorders>
              <w:left w:val="single" w:color="auto" w:sz="4" w:space="0"/>
              <w:right w:val="single" w:color="auto" w:sz="4" w:space="0"/>
            </w:tcBorders>
            <w:vAlign w:val="center"/>
          </w:tcPr>
          <w:p w14:paraId="1987A9AB">
            <w:pPr>
              <w:spacing w:line="240" w:lineRule="auto"/>
              <w:jc w:val="center"/>
              <w:rPr>
                <w:rFonts w:ascii="Times New Roman" w:hAnsi="Times New Roman"/>
                <w:sz w:val="18"/>
                <w:szCs w:val="18"/>
              </w:rPr>
            </w:pPr>
          </w:p>
        </w:tc>
        <w:tc>
          <w:tcPr>
            <w:tcW w:w="1189" w:type="dxa"/>
            <w:vMerge w:val="continue"/>
            <w:tcBorders>
              <w:left w:val="single" w:color="auto" w:sz="4" w:space="0"/>
              <w:right w:val="single" w:color="auto" w:sz="4" w:space="0"/>
            </w:tcBorders>
            <w:vAlign w:val="center"/>
          </w:tcPr>
          <w:p w14:paraId="0484D0F4">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18"/>
                <w:szCs w:val="18"/>
              </w:rPr>
            </w:pPr>
          </w:p>
        </w:tc>
        <w:tc>
          <w:tcPr>
            <w:tcW w:w="2271" w:type="dxa"/>
            <w:tcBorders>
              <w:top w:val="single" w:color="auto" w:sz="4" w:space="0"/>
              <w:left w:val="single" w:color="auto" w:sz="4" w:space="0"/>
              <w:right w:val="single" w:color="auto" w:sz="4" w:space="0"/>
            </w:tcBorders>
            <w:vAlign w:val="center"/>
          </w:tcPr>
          <w:p w14:paraId="7650CD38">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ascii="Times New Roman" w:hAnsi="Times New Roman" w:cs="Times New Roman"/>
                <w:kern w:val="2"/>
                <w:sz w:val="18"/>
                <w:szCs w:val="18"/>
              </w:rPr>
              <w:t>产业设施</w:t>
            </w:r>
          </w:p>
        </w:tc>
        <w:tc>
          <w:tcPr>
            <w:tcW w:w="4536" w:type="dxa"/>
            <w:tcBorders>
              <w:top w:val="single" w:color="auto" w:sz="4" w:space="0"/>
              <w:left w:val="single" w:color="auto" w:sz="4" w:space="0"/>
              <w:right w:val="single" w:color="auto" w:sz="4" w:space="0"/>
            </w:tcBorders>
            <w:vAlign w:val="center"/>
          </w:tcPr>
          <w:p w14:paraId="14DDE079">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ascii="Times New Roman" w:hAnsi="Times New Roman" w:cs="Times New Roman"/>
                <w:kern w:val="2"/>
                <w:sz w:val="18"/>
                <w:szCs w:val="18"/>
              </w:rPr>
              <w:t>自然景观、人文景观、民宿、餐饮及旅游配套情况</w:t>
            </w:r>
            <w:r>
              <w:rPr>
                <w:rFonts w:hint="eastAsia" w:ascii="Times New Roman" w:hAnsi="Times New Roman" w:cs="Times New Roman"/>
                <w:kern w:val="2"/>
                <w:sz w:val="18"/>
                <w:szCs w:val="18"/>
              </w:rPr>
              <w:t>。</w:t>
            </w:r>
          </w:p>
        </w:tc>
      </w:tr>
      <w:tr w14:paraId="6364B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1105" w:type="dxa"/>
            <w:vMerge w:val="continue"/>
            <w:tcBorders>
              <w:left w:val="single" w:color="auto" w:sz="4" w:space="0"/>
              <w:right w:val="single" w:color="auto" w:sz="4" w:space="0"/>
            </w:tcBorders>
            <w:vAlign w:val="center"/>
          </w:tcPr>
          <w:p w14:paraId="58C5FD88">
            <w:pPr>
              <w:spacing w:line="240" w:lineRule="auto"/>
              <w:jc w:val="center"/>
              <w:rPr>
                <w:rFonts w:ascii="Times New Roman" w:hAnsi="Times New Roman"/>
                <w:sz w:val="18"/>
                <w:szCs w:val="18"/>
              </w:rPr>
            </w:pPr>
          </w:p>
        </w:tc>
        <w:tc>
          <w:tcPr>
            <w:tcW w:w="1189" w:type="dxa"/>
            <w:vMerge w:val="continue"/>
            <w:tcBorders>
              <w:left w:val="single" w:color="auto" w:sz="4" w:space="0"/>
              <w:right w:val="single" w:color="auto" w:sz="4" w:space="0"/>
            </w:tcBorders>
            <w:vAlign w:val="center"/>
          </w:tcPr>
          <w:p w14:paraId="3E9C273E">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18"/>
                <w:szCs w:val="18"/>
              </w:rPr>
            </w:pPr>
          </w:p>
        </w:tc>
        <w:tc>
          <w:tcPr>
            <w:tcW w:w="2271" w:type="dxa"/>
            <w:tcBorders>
              <w:top w:val="single" w:color="auto" w:sz="4" w:space="0"/>
              <w:left w:val="single" w:color="auto" w:sz="4" w:space="0"/>
              <w:bottom w:val="single" w:color="auto" w:sz="4" w:space="0"/>
              <w:right w:val="single" w:color="auto" w:sz="4" w:space="0"/>
            </w:tcBorders>
            <w:vAlign w:val="center"/>
          </w:tcPr>
          <w:p w14:paraId="079A5164">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ascii="Times New Roman" w:hAnsi="Times New Roman" w:cs="Times New Roman"/>
                <w:kern w:val="2"/>
                <w:sz w:val="18"/>
                <w:szCs w:val="18"/>
              </w:rPr>
              <w:t>数字化建设</w:t>
            </w:r>
          </w:p>
        </w:tc>
        <w:tc>
          <w:tcPr>
            <w:tcW w:w="4536" w:type="dxa"/>
            <w:tcBorders>
              <w:top w:val="single" w:color="auto" w:sz="4" w:space="0"/>
              <w:left w:val="single" w:color="auto" w:sz="4" w:space="0"/>
              <w:bottom w:val="single" w:color="auto" w:sz="4" w:space="0"/>
              <w:right w:val="single" w:color="auto" w:sz="4" w:space="0"/>
            </w:tcBorders>
            <w:vAlign w:val="center"/>
          </w:tcPr>
          <w:p w14:paraId="463110F7">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ascii="Times New Roman" w:hAnsi="Times New Roman" w:cs="Times New Roman"/>
                <w:kern w:val="2"/>
                <w:sz w:val="18"/>
                <w:szCs w:val="18"/>
              </w:rPr>
              <w:t>三网（宽带通信网、移动互联网、数字电视网）覆盖情况；数字大脑在乡村领域的应用情况</w:t>
            </w:r>
            <w:r>
              <w:rPr>
                <w:rFonts w:hint="eastAsia" w:ascii="Times New Roman" w:hAnsi="Times New Roman" w:cs="Times New Roman"/>
                <w:kern w:val="2"/>
                <w:sz w:val="18"/>
                <w:szCs w:val="18"/>
              </w:rPr>
              <w:t>。</w:t>
            </w:r>
          </w:p>
        </w:tc>
      </w:tr>
      <w:tr w14:paraId="62B3C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1105" w:type="dxa"/>
            <w:vMerge w:val="restart"/>
            <w:tcBorders>
              <w:left w:val="single" w:color="auto" w:sz="4" w:space="0"/>
              <w:right w:val="single" w:color="auto" w:sz="4" w:space="0"/>
            </w:tcBorders>
            <w:vAlign w:val="center"/>
          </w:tcPr>
          <w:p w14:paraId="1D87F74A">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r>
              <w:rPr>
                <w:rFonts w:hint="eastAsia" w:ascii="Times New Roman" w:hAnsi="Times New Roman" w:cs="Times New Roman"/>
                <w:b/>
                <w:bCs/>
                <w:kern w:val="2"/>
                <w:sz w:val="21"/>
                <w:szCs w:val="21"/>
              </w:rPr>
              <w:t>品牌</w:t>
            </w:r>
          </w:p>
          <w:p w14:paraId="36A2542A">
            <w:pPr>
              <w:pStyle w:val="6"/>
              <w:tabs>
                <w:tab w:val="center" w:pos="4201"/>
                <w:tab w:val="right" w:leader="dot" w:pos="9298"/>
              </w:tabs>
              <w:autoSpaceDE w:val="0"/>
              <w:autoSpaceDN w:val="0"/>
              <w:spacing w:before="0" w:beforeAutospacing="0" w:after="0" w:afterAutospacing="0"/>
              <w:jc w:val="center"/>
              <w:rPr>
                <w:rFonts w:ascii="Times New Roman" w:hAnsi="Times New Roman"/>
                <w:sz w:val="18"/>
                <w:szCs w:val="18"/>
              </w:rPr>
            </w:pPr>
            <w:r>
              <w:rPr>
                <w:rFonts w:hint="eastAsia" w:ascii="Times New Roman" w:hAnsi="Times New Roman" w:cs="Times New Roman"/>
                <w:b/>
                <w:bCs/>
                <w:kern w:val="2"/>
                <w:sz w:val="21"/>
                <w:szCs w:val="21"/>
              </w:rPr>
              <w:t>强度要素</w:t>
            </w:r>
          </w:p>
        </w:tc>
        <w:tc>
          <w:tcPr>
            <w:tcW w:w="1189" w:type="dxa"/>
            <w:vMerge w:val="restart"/>
            <w:tcBorders>
              <w:left w:val="single" w:color="auto" w:sz="4" w:space="0"/>
              <w:right w:val="single" w:color="auto" w:sz="4" w:space="0"/>
            </w:tcBorders>
            <w:vAlign w:val="center"/>
          </w:tcPr>
          <w:p w14:paraId="0C83AB6C">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18"/>
                <w:szCs w:val="18"/>
              </w:rPr>
            </w:pPr>
            <w:r>
              <w:rPr>
                <w:rFonts w:hint="eastAsia" w:ascii="Times New Roman" w:hAnsi="Times New Roman" w:cs="Times New Roman"/>
                <w:b/>
                <w:bCs/>
                <w:kern w:val="2"/>
                <w:sz w:val="18"/>
                <w:szCs w:val="18"/>
              </w:rPr>
              <w:t>品牌规划</w:t>
            </w:r>
          </w:p>
        </w:tc>
        <w:tc>
          <w:tcPr>
            <w:tcW w:w="2271" w:type="dxa"/>
            <w:tcBorders>
              <w:top w:val="single" w:color="auto" w:sz="4" w:space="0"/>
              <w:left w:val="single" w:color="auto" w:sz="4" w:space="0"/>
              <w:bottom w:val="single" w:color="auto" w:sz="4" w:space="0"/>
              <w:right w:val="single" w:color="auto" w:sz="4" w:space="0"/>
            </w:tcBorders>
            <w:vAlign w:val="center"/>
          </w:tcPr>
          <w:p w14:paraId="325411BF">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ascii="Times New Roman" w:hAnsi="Times New Roman"/>
                <w:sz w:val="18"/>
                <w:szCs w:val="18"/>
              </w:rPr>
              <w:t>品牌乡村建设规划</w:t>
            </w:r>
          </w:p>
        </w:tc>
        <w:tc>
          <w:tcPr>
            <w:tcW w:w="4536" w:type="dxa"/>
            <w:tcBorders>
              <w:top w:val="single" w:color="auto" w:sz="4" w:space="0"/>
              <w:left w:val="single" w:color="auto" w:sz="4" w:space="0"/>
              <w:bottom w:val="single" w:color="auto" w:sz="4" w:space="0"/>
              <w:right w:val="single" w:color="auto" w:sz="4" w:space="0"/>
            </w:tcBorders>
            <w:vAlign w:val="center"/>
          </w:tcPr>
          <w:p w14:paraId="5E39991D">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sz w:val="18"/>
                <w:szCs w:val="18"/>
              </w:rPr>
              <w:t>有科学、系统、严谨的品牌乡村建设规划。</w:t>
            </w:r>
          </w:p>
        </w:tc>
      </w:tr>
      <w:tr w14:paraId="383A5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1105" w:type="dxa"/>
            <w:vMerge w:val="continue"/>
            <w:tcBorders>
              <w:left w:val="single" w:color="auto" w:sz="4" w:space="0"/>
              <w:right w:val="single" w:color="auto" w:sz="4" w:space="0"/>
            </w:tcBorders>
            <w:vAlign w:val="center"/>
          </w:tcPr>
          <w:p w14:paraId="3BBD502C">
            <w:pPr>
              <w:spacing w:line="240" w:lineRule="auto"/>
              <w:jc w:val="center"/>
              <w:rPr>
                <w:rFonts w:ascii="Times New Roman" w:hAnsi="Times New Roman"/>
                <w:sz w:val="18"/>
                <w:szCs w:val="18"/>
              </w:rPr>
            </w:pPr>
          </w:p>
        </w:tc>
        <w:tc>
          <w:tcPr>
            <w:tcW w:w="1189" w:type="dxa"/>
            <w:vMerge w:val="continue"/>
            <w:tcBorders>
              <w:left w:val="single" w:color="auto" w:sz="4" w:space="0"/>
              <w:right w:val="single" w:color="auto" w:sz="4" w:space="0"/>
            </w:tcBorders>
            <w:vAlign w:val="center"/>
          </w:tcPr>
          <w:p w14:paraId="68B97648">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18"/>
                <w:szCs w:val="18"/>
              </w:rPr>
            </w:pPr>
          </w:p>
        </w:tc>
        <w:tc>
          <w:tcPr>
            <w:tcW w:w="2271" w:type="dxa"/>
            <w:tcBorders>
              <w:top w:val="single" w:color="auto" w:sz="4" w:space="0"/>
              <w:left w:val="single" w:color="auto" w:sz="4" w:space="0"/>
              <w:bottom w:val="single" w:color="auto" w:sz="4" w:space="0"/>
              <w:right w:val="single" w:color="auto" w:sz="4" w:space="0"/>
            </w:tcBorders>
            <w:vAlign w:val="center"/>
          </w:tcPr>
          <w:p w14:paraId="2DFBA13E">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ascii="Times New Roman" w:hAnsi="Times New Roman"/>
                <w:sz w:val="18"/>
                <w:szCs w:val="18"/>
              </w:rPr>
              <w:t>品牌乡村建设保障</w:t>
            </w:r>
          </w:p>
        </w:tc>
        <w:tc>
          <w:tcPr>
            <w:tcW w:w="4536" w:type="dxa"/>
            <w:tcBorders>
              <w:top w:val="single" w:color="auto" w:sz="4" w:space="0"/>
              <w:left w:val="single" w:color="auto" w:sz="4" w:space="0"/>
              <w:bottom w:val="single" w:color="auto" w:sz="4" w:space="0"/>
              <w:right w:val="single" w:color="auto" w:sz="4" w:space="0"/>
            </w:tcBorders>
            <w:vAlign w:val="center"/>
          </w:tcPr>
          <w:p w14:paraId="29658F62">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sz w:val="18"/>
                <w:szCs w:val="18"/>
              </w:rPr>
              <w:t>有</w:t>
            </w:r>
            <w:r>
              <w:rPr>
                <w:rFonts w:ascii="Times New Roman" w:hAnsi="Times New Roman"/>
                <w:sz w:val="18"/>
                <w:szCs w:val="18"/>
              </w:rPr>
              <w:t>工作机制、人员、空间、经费等建设保障</w:t>
            </w:r>
            <w:r>
              <w:rPr>
                <w:rFonts w:hint="eastAsia" w:ascii="Times New Roman" w:hAnsi="Times New Roman"/>
                <w:sz w:val="18"/>
                <w:szCs w:val="18"/>
              </w:rPr>
              <w:t>。</w:t>
            </w:r>
          </w:p>
        </w:tc>
      </w:tr>
      <w:tr w14:paraId="1706C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1105" w:type="dxa"/>
            <w:vMerge w:val="continue"/>
            <w:tcBorders>
              <w:left w:val="single" w:color="auto" w:sz="4" w:space="0"/>
              <w:right w:val="single" w:color="auto" w:sz="4" w:space="0"/>
            </w:tcBorders>
            <w:vAlign w:val="center"/>
          </w:tcPr>
          <w:p w14:paraId="069C0FAA">
            <w:pPr>
              <w:spacing w:line="240" w:lineRule="auto"/>
              <w:jc w:val="center"/>
              <w:rPr>
                <w:rFonts w:ascii="Times New Roman" w:hAnsi="Times New Roman"/>
                <w:sz w:val="18"/>
                <w:szCs w:val="18"/>
              </w:rPr>
            </w:pPr>
          </w:p>
        </w:tc>
        <w:tc>
          <w:tcPr>
            <w:tcW w:w="1189" w:type="dxa"/>
            <w:vMerge w:val="restart"/>
            <w:tcBorders>
              <w:left w:val="single" w:color="auto" w:sz="4" w:space="0"/>
              <w:right w:val="single" w:color="auto" w:sz="4" w:space="0"/>
            </w:tcBorders>
            <w:vAlign w:val="center"/>
          </w:tcPr>
          <w:p w14:paraId="2C11AD46">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18"/>
                <w:szCs w:val="18"/>
              </w:rPr>
            </w:pPr>
            <w:r>
              <w:rPr>
                <w:rFonts w:hint="eastAsia" w:ascii="Times New Roman" w:hAnsi="Times New Roman" w:cs="Times New Roman"/>
                <w:b/>
                <w:bCs/>
                <w:kern w:val="2"/>
                <w:sz w:val="18"/>
                <w:szCs w:val="18"/>
              </w:rPr>
              <w:t>品牌运营</w:t>
            </w:r>
          </w:p>
        </w:tc>
        <w:tc>
          <w:tcPr>
            <w:tcW w:w="2271" w:type="dxa"/>
            <w:tcBorders>
              <w:top w:val="single" w:color="auto" w:sz="4" w:space="0"/>
              <w:left w:val="single" w:color="auto" w:sz="4" w:space="0"/>
              <w:bottom w:val="single" w:color="auto" w:sz="4" w:space="0"/>
              <w:right w:val="single" w:color="auto" w:sz="4" w:space="0"/>
            </w:tcBorders>
            <w:vAlign w:val="center"/>
          </w:tcPr>
          <w:p w14:paraId="3D3118F7">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ascii="Times New Roman" w:hAnsi="Times New Roman" w:cs="Times New Roman"/>
                <w:kern w:val="2"/>
                <w:sz w:val="18"/>
                <w:szCs w:val="18"/>
              </w:rPr>
              <w:t>品牌</w:t>
            </w:r>
            <w:r>
              <w:rPr>
                <w:rFonts w:hint="eastAsia" w:ascii="Times New Roman" w:hAnsi="Times New Roman" w:cs="Times New Roman"/>
                <w:kern w:val="2"/>
                <w:sz w:val="18"/>
                <w:szCs w:val="18"/>
              </w:rPr>
              <w:t>运营程度</w:t>
            </w:r>
          </w:p>
        </w:tc>
        <w:tc>
          <w:tcPr>
            <w:tcW w:w="4536" w:type="dxa"/>
            <w:tcBorders>
              <w:top w:val="single" w:color="auto" w:sz="4" w:space="0"/>
              <w:left w:val="single" w:color="auto" w:sz="4" w:space="0"/>
              <w:bottom w:val="single" w:color="auto" w:sz="4" w:space="0"/>
              <w:right w:val="single" w:color="auto" w:sz="4" w:space="0"/>
            </w:tcBorders>
            <w:vAlign w:val="center"/>
          </w:tcPr>
          <w:p w14:paraId="1F97A0F6">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ascii="Times New Roman" w:hAnsi="Times New Roman"/>
                <w:sz w:val="18"/>
                <w:szCs w:val="18"/>
              </w:rPr>
              <w:t>结合品牌乡村</w:t>
            </w:r>
            <w:r>
              <w:rPr>
                <w:rFonts w:hint="eastAsia" w:ascii="Times New Roman" w:hAnsi="Times New Roman"/>
                <w:sz w:val="18"/>
                <w:szCs w:val="18"/>
              </w:rPr>
              <w:t>的定位</w:t>
            </w:r>
            <w:r>
              <w:rPr>
                <w:rFonts w:ascii="Times New Roman" w:hAnsi="Times New Roman"/>
                <w:sz w:val="18"/>
                <w:szCs w:val="18"/>
              </w:rPr>
              <w:t>开发相应的</w:t>
            </w:r>
            <w:r>
              <w:rPr>
                <w:rFonts w:hint="eastAsia" w:ascii="Times New Roman" w:hAnsi="Times New Roman"/>
                <w:sz w:val="18"/>
                <w:szCs w:val="18"/>
              </w:rPr>
              <w:t>特色</w:t>
            </w:r>
            <w:r>
              <w:rPr>
                <w:rFonts w:ascii="Times New Roman" w:hAnsi="Times New Roman"/>
                <w:sz w:val="18"/>
                <w:szCs w:val="18"/>
              </w:rPr>
              <w:t>农产品、地理标志产品、非遗产品、旅游文创产品、民宿产品、餐饮产品、场景体验产品、民俗节庆等</w:t>
            </w:r>
            <w:r>
              <w:rPr>
                <w:rFonts w:hint="eastAsia" w:ascii="Times New Roman" w:hAnsi="Times New Roman"/>
                <w:sz w:val="18"/>
                <w:szCs w:val="18"/>
              </w:rPr>
              <w:t>。</w:t>
            </w:r>
          </w:p>
        </w:tc>
      </w:tr>
      <w:tr w14:paraId="6A871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1105" w:type="dxa"/>
            <w:vMerge w:val="continue"/>
            <w:tcBorders>
              <w:left w:val="single" w:color="auto" w:sz="4" w:space="0"/>
              <w:right w:val="single" w:color="auto" w:sz="4" w:space="0"/>
            </w:tcBorders>
            <w:vAlign w:val="center"/>
          </w:tcPr>
          <w:p w14:paraId="093C3473">
            <w:pPr>
              <w:spacing w:line="240" w:lineRule="auto"/>
              <w:jc w:val="center"/>
              <w:rPr>
                <w:rFonts w:ascii="Times New Roman" w:hAnsi="Times New Roman"/>
                <w:sz w:val="18"/>
                <w:szCs w:val="18"/>
              </w:rPr>
            </w:pPr>
          </w:p>
        </w:tc>
        <w:tc>
          <w:tcPr>
            <w:tcW w:w="1189" w:type="dxa"/>
            <w:vMerge w:val="continue"/>
            <w:tcBorders>
              <w:left w:val="single" w:color="auto" w:sz="4" w:space="0"/>
              <w:right w:val="single" w:color="auto" w:sz="4" w:space="0"/>
            </w:tcBorders>
            <w:vAlign w:val="center"/>
          </w:tcPr>
          <w:p w14:paraId="65B4D713">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p>
        </w:tc>
        <w:tc>
          <w:tcPr>
            <w:tcW w:w="2271" w:type="dxa"/>
            <w:tcBorders>
              <w:top w:val="single" w:color="auto" w:sz="4" w:space="0"/>
              <w:left w:val="single" w:color="auto" w:sz="4" w:space="0"/>
              <w:bottom w:val="single" w:color="auto" w:sz="4" w:space="0"/>
              <w:right w:val="single" w:color="auto" w:sz="4" w:space="0"/>
            </w:tcBorders>
            <w:vAlign w:val="center"/>
          </w:tcPr>
          <w:p w14:paraId="65ABCFB0">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ascii="Times New Roman" w:hAnsi="Times New Roman"/>
                <w:sz w:val="18"/>
                <w:szCs w:val="18"/>
              </w:rPr>
              <w:t>品牌保护力度</w:t>
            </w:r>
          </w:p>
        </w:tc>
        <w:tc>
          <w:tcPr>
            <w:tcW w:w="4536" w:type="dxa"/>
            <w:tcBorders>
              <w:top w:val="single" w:color="auto" w:sz="4" w:space="0"/>
              <w:left w:val="single" w:color="auto" w:sz="4" w:space="0"/>
              <w:bottom w:val="single" w:color="auto" w:sz="4" w:space="0"/>
              <w:right w:val="single" w:color="auto" w:sz="4" w:space="0"/>
            </w:tcBorders>
            <w:vAlign w:val="center"/>
          </w:tcPr>
          <w:p w14:paraId="0B4B8056">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sz w:val="18"/>
                <w:szCs w:val="18"/>
              </w:rPr>
              <w:t>对品牌乡村的</w:t>
            </w:r>
            <w:r>
              <w:rPr>
                <w:rFonts w:ascii="Times New Roman" w:hAnsi="Times New Roman"/>
                <w:sz w:val="18"/>
                <w:szCs w:val="18"/>
              </w:rPr>
              <w:t>商标注册、授权使用、品牌管理、特种资源保护、专利保护等</w:t>
            </w:r>
            <w:r>
              <w:rPr>
                <w:rFonts w:hint="eastAsia" w:ascii="Times New Roman" w:hAnsi="Times New Roman"/>
                <w:sz w:val="18"/>
                <w:szCs w:val="18"/>
              </w:rPr>
              <w:t>。</w:t>
            </w:r>
          </w:p>
        </w:tc>
      </w:tr>
      <w:tr w14:paraId="7C4EE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1105" w:type="dxa"/>
            <w:vMerge w:val="continue"/>
            <w:tcBorders>
              <w:left w:val="single" w:color="auto" w:sz="4" w:space="0"/>
              <w:right w:val="single" w:color="auto" w:sz="4" w:space="0"/>
            </w:tcBorders>
            <w:vAlign w:val="center"/>
          </w:tcPr>
          <w:p w14:paraId="371F0756">
            <w:pPr>
              <w:spacing w:line="240" w:lineRule="auto"/>
              <w:jc w:val="center"/>
              <w:rPr>
                <w:rFonts w:ascii="Times New Roman" w:hAnsi="Times New Roman"/>
                <w:sz w:val="18"/>
                <w:szCs w:val="18"/>
              </w:rPr>
            </w:pPr>
          </w:p>
        </w:tc>
        <w:tc>
          <w:tcPr>
            <w:tcW w:w="1189" w:type="dxa"/>
            <w:vMerge w:val="continue"/>
            <w:tcBorders>
              <w:left w:val="single" w:color="auto" w:sz="4" w:space="0"/>
              <w:right w:val="single" w:color="auto" w:sz="4" w:space="0"/>
            </w:tcBorders>
            <w:vAlign w:val="center"/>
          </w:tcPr>
          <w:p w14:paraId="3C6949F4">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p>
        </w:tc>
        <w:tc>
          <w:tcPr>
            <w:tcW w:w="2271" w:type="dxa"/>
            <w:tcBorders>
              <w:top w:val="single" w:color="auto" w:sz="4" w:space="0"/>
              <w:left w:val="single" w:color="auto" w:sz="4" w:space="0"/>
              <w:bottom w:val="single" w:color="auto" w:sz="4" w:space="0"/>
              <w:right w:val="single" w:color="auto" w:sz="4" w:space="0"/>
            </w:tcBorders>
            <w:vAlign w:val="center"/>
          </w:tcPr>
          <w:p w14:paraId="2E46FC12">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ascii="Times New Roman" w:hAnsi="Times New Roman" w:cs="Times New Roman"/>
                <w:kern w:val="2"/>
                <w:sz w:val="18"/>
                <w:szCs w:val="18"/>
              </w:rPr>
              <w:t>品牌知名度</w:t>
            </w:r>
          </w:p>
        </w:tc>
        <w:tc>
          <w:tcPr>
            <w:tcW w:w="4536" w:type="dxa"/>
            <w:tcBorders>
              <w:top w:val="single" w:color="auto" w:sz="4" w:space="0"/>
              <w:left w:val="single" w:color="auto" w:sz="4" w:space="0"/>
              <w:bottom w:val="single" w:color="auto" w:sz="4" w:space="0"/>
              <w:right w:val="single" w:color="auto" w:sz="4" w:space="0"/>
            </w:tcBorders>
            <w:vAlign w:val="center"/>
          </w:tcPr>
          <w:p w14:paraId="7440FDA0">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olor w:val="000000" w:themeColor="text1"/>
                <w:sz w:val="18"/>
                <w:szCs w:val="18"/>
                <w14:textFill>
                  <w14:solidFill>
                    <w14:schemeClr w14:val="tx1"/>
                  </w14:solidFill>
                </w14:textFill>
              </w:rPr>
              <w:t>品牌乡村的知名程度。</w:t>
            </w:r>
          </w:p>
        </w:tc>
      </w:tr>
      <w:tr w14:paraId="574FF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1105" w:type="dxa"/>
            <w:vMerge w:val="continue"/>
            <w:tcBorders>
              <w:left w:val="single" w:color="auto" w:sz="4" w:space="0"/>
              <w:right w:val="single" w:color="auto" w:sz="4" w:space="0"/>
            </w:tcBorders>
            <w:vAlign w:val="center"/>
          </w:tcPr>
          <w:p w14:paraId="4796B710">
            <w:pPr>
              <w:spacing w:line="240" w:lineRule="auto"/>
              <w:jc w:val="center"/>
              <w:rPr>
                <w:rFonts w:ascii="Times New Roman" w:hAnsi="Times New Roman"/>
                <w:sz w:val="18"/>
                <w:szCs w:val="18"/>
              </w:rPr>
            </w:pPr>
          </w:p>
        </w:tc>
        <w:tc>
          <w:tcPr>
            <w:tcW w:w="1189" w:type="dxa"/>
            <w:vMerge w:val="continue"/>
            <w:tcBorders>
              <w:left w:val="single" w:color="auto" w:sz="4" w:space="0"/>
              <w:right w:val="single" w:color="auto" w:sz="4" w:space="0"/>
            </w:tcBorders>
            <w:vAlign w:val="center"/>
          </w:tcPr>
          <w:p w14:paraId="7BF9BF5E">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p>
        </w:tc>
        <w:tc>
          <w:tcPr>
            <w:tcW w:w="2271" w:type="dxa"/>
            <w:tcBorders>
              <w:top w:val="single" w:color="auto" w:sz="4" w:space="0"/>
              <w:left w:val="single" w:color="auto" w:sz="4" w:space="0"/>
              <w:bottom w:val="single" w:color="auto" w:sz="4" w:space="0"/>
              <w:right w:val="single" w:color="auto" w:sz="4" w:space="0"/>
            </w:tcBorders>
            <w:vAlign w:val="center"/>
          </w:tcPr>
          <w:p w14:paraId="372F8231">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ascii="Times New Roman" w:hAnsi="Times New Roman" w:cs="Times New Roman"/>
                <w:kern w:val="2"/>
                <w:sz w:val="18"/>
                <w:szCs w:val="18"/>
              </w:rPr>
              <w:t>品牌美誉度</w:t>
            </w:r>
          </w:p>
        </w:tc>
        <w:tc>
          <w:tcPr>
            <w:tcW w:w="4536" w:type="dxa"/>
            <w:tcBorders>
              <w:top w:val="single" w:color="auto" w:sz="4" w:space="0"/>
              <w:left w:val="single" w:color="auto" w:sz="4" w:space="0"/>
              <w:bottom w:val="single" w:color="auto" w:sz="4" w:space="0"/>
              <w:right w:val="single" w:color="auto" w:sz="4" w:space="0"/>
            </w:tcBorders>
            <w:vAlign w:val="center"/>
          </w:tcPr>
          <w:p w14:paraId="34A2742F">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ascii="Times New Roman" w:hAnsi="Times New Roman"/>
                <w:sz w:val="18"/>
                <w:szCs w:val="18"/>
              </w:rPr>
              <w:t>对品牌乡村的正面评价、</w:t>
            </w:r>
            <w:r>
              <w:rPr>
                <w:rFonts w:hint="eastAsia" w:ascii="Times New Roman" w:hAnsi="Times New Roman"/>
                <w:sz w:val="18"/>
                <w:szCs w:val="18"/>
              </w:rPr>
              <w:t>情感偏好。</w:t>
            </w:r>
          </w:p>
        </w:tc>
      </w:tr>
      <w:tr w14:paraId="6302D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1105" w:type="dxa"/>
            <w:vMerge w:val="continue"/>
            <w:tcBorders>
              <w:left w:val="single" w:color="auto" w:sz="4" w:space="0"/>
              <w:right w:val="single" w:color="auto" w:sz="4" w:space="0"/>
            </w:tcBorders>
            <w:vAlign w:val="center"/>
          </w:tcPr>
          <w:p w14:paraId="6772619D">
            <w:pPr>
              <w:spacing w:line="240" w:lineRule="auto"/>
              <w:jc w:val="center"/>
              <w:rPr>
                <w:rFonts w:ascii="Times New Roman" w:hAnsi="Times New Roman"/>
                <w:sz w:val="18"/>
                <w:szCs w:val="18"/>
              </w:rPr>
            </w:pPr>
          </w:p>
        </w:tc>
        <w:tc>
          <w:tcPr>
            <w:tcW w:w="1189" w:type="dxa"/>
            <w:vMerge w:val="continue"/>
            <w:tcBorders>
              <w:left w:val="single" w:color="auto" w:sz="4" w:space="0"/>
              <w:right w:val="single" w:color="auto" w:sz="4" w:space="0"/>
            </w:tcBorders>
            <w:vAlign w:val="center"/>
          </w:tcPr>
          <w:p w14:paraId="2A17AD50">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p>
        </w:tc>
        <w:tc>
          <w:tcPr>
            <w:tcW w:w="2271" w:type="dxa"/>
            <w:tcBorders>
              <w:top w:val="single" w:color="auto" w:sz="4" w:space="0"/>
              <w:left w:val="single" w:color="auto" w:sz="4" w:space="0"/>
              <w:bottom w:val="single" w:color="auto" w:sz="4" w:space="0"/>
              <w:right w:val="single" w:color="auto" w:sz="4" w:space="0"/>
            </w:tcBorders>
            <w:vAlign w:val="center"/>
          </w:tcPr>
          <w:p w14:paraId="69609167">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ascii="Times New Roman" w:hAnsi="Times New Roman" w:cs="Times New Roman"/>
                <w:kern w:val="2"/>
                <w:sz w:val="18"/>
                <w:szCs w:val="18"/>
              </w:rPr>
              <w:t>品牌忠诚度</w:t>
            </w:r>
          </w:p>
        </w:tc>
        <w:tc>
          <w:tcPr>
            <w:tcW w:w="4536" w:type="dxa"/>
            <w:tcBorders>
              <w:top w:val="single" w:color="auto" w:sz="4" w:space="0"/>
              <w:left w:val="single" w:color="auto" w:sz="4" w:space="0"/>
              <w:bottom w:val="single" w:color="auto" w:sz="4" w:space="0"/>
              <w:right w:val="single" w:color="auto" w:sz="4" w:space="0"/>
            </w:tcBorders>
            <w:vAlign w:val="center"/>
          </w:tcPr>
          <w:p w14:paraId="38B7173A">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sz w:val="18"/>
                <w:szCs w:val="18"/>
              </w:rPr>
              <w:t>对品牌乡村的信任程度。</w:t>
            </w:r>
          </w:p>
        </w:tc>
      </w:tr>
      <w:tr w14:paraId="25D3E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1105" w:type="dxa"/>
            <w:vMerge w:val="restart"/>
            <w:tcBorders>
              <w:left w:val="single" w:color="auto" w:sz="4" w:space="0"/>
              <w:right w:val="single" w:color="auto" w:sz="4" w:space="0"/>
            </w:tcBorders>
            <w:vAlign w:val="center"/>
          </w:tcPr>
          <w:p w14:paraId="746C82E6">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r>
              <w:rPr>
                <w:rFonts w:hint="eastAsia" w:ascii="Times New Roman" w:hAnsi="Times New Roman" w:cs="Times New Roman"/>
                <w:b/>
                <w:bCs/>
                <w:kern w:val="2"/>
                <w:sz w:val="21"/>
                <w:szCs w:val="21"/>
              </w:rPr>
              <w:t>品牌</w:t>
            </w:r>
          </w:p>
          <w:p w14:paraId="5059CA51">
            <w:pPr>
              <w:pStyle w:val="6"/>
              <w:tabs>
                <w:tab w:val="center" w:pos="4201"/>
                <w:tab w:val="right" w:leader="dot" w:pos="9298"/>
              </w:tabs>
              <w:autoSpaceDE w:val="0"/>
              <w:autoSpaceDN w:val="0"/>
              <w:spacing w:before="0" w:beforeAutospacing="0" w:after="0" w:afterAutospacing="0"/>
              <w:jc w:val="center"/>
              <w:rPr>
                <w:rFonts w:ascii="Times New Roman" w:hAnsi="Times New Roman"/>
                <w:sz w:val="18"/>
                <w:szCs w:val="18"/>
              </w:rPr>
            </w:pPr>
            <w:r>
              <w:rPr>
                <w:rFonts w:hint="eastAsia" w:ascii="Times New Roman" w:hAnsi="Times New Roman" w:cs="Times New Roman"/>
                <w:b/>
                <w:bCs/>
                <w:kern w:val="2"/>
                <w:sz w:val="21"/>
                <w:szCs w:val="21"/>
              </w:rPr>
              <w:t>贡献要素</w:t>
            </w:r>
          </w:p>
        </w:tc>
        <w:tc>
          <w:tcPr>
            <w:tcW w:w="1189" w:type="dxa"/>
            <w:vMerge w:val="restart"/>
            <w:tcBorders>
              <w:left w:val="single" w:color="auto" w:sz="4" w:space="0"/>
              <w:right w:val="single" w:color="auto" w:sz="4" w:space="0"/>
            </w:tcBorders>
            <w:vAlign w:val="center"/>
          </w:tcPr>
          <w:p w14:paraId="1FB36436">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18"/>
                <w:szCs w:val="18"/>
              </w:rPr>
            </w:pPr>
            <w:r>
              <w:rPr>
                <w:rFonts w:hint="eastAsia" w:ascii="Times New Roman" w:hAnsi="Times New Roman" w:cs="Times New Roman"/>
                <w:b/>
                <w:bCs/>
                <w:kern w:val="2"/>
                <w:sz w:val="18"/>
                <w:szCs w:val="18"/>
              </w:rPr>
              <w:t>产业带动力</w:t>
            </w:r>
          </w:p>
        </w:tc>
        <w:tc>
          <w:tcPr>
            <w:tcW w:w="2271" w:type="dxa"/>
            <w:tcBorders>
              <w:top w:val="single" w:color="auto" w:sz="4" w:space="0"/>
              <w:left w:val="single" w:color="auto" w:sz="4" w:space="0"/>
              <w:bottom w:val="single" w:color="auto" w:sz="4" w:space="0"/>
              <w:right w:val="single" w:color="auto" w:sz="4" w:space="0"/>
            </w:tcBorders>
            <w:vAlign w:val="center"/>
          </w:tcPr>
          <w:p w14:paraId="40183CD7">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ascii="Times New Roman" w:hAnsi="Times New Roman" w:cs="Times New Roman"/>
                <w:kern w:val="2"/>
                <w:sz w:val="18"/>
                <w:szCs w:val="18"/>
              </w:rPr>
              <w:t>招商引资项目</w:t>
            </w:r>
          </w:p>
        </w:tc>
        <w:tc>
          <w:tcPr>
            <w:tcW w:w="4536" w:type="dxa"/>
            <w:tcBorders>
              <w:top w:val="single" w:color="auto" w:sz="4" w:space="0"/>
              <w:left w:val="single" w:color="auto" w:sz="4" w:space="0"/>
              <w:bottom w:val="single" w:color="auto" w:sz="4" w:space="0"/>
              <w:right w:val="single" w:color="auto" w:sz="4" w:space="0"/>
            </w:tcBorders>
            <w:vAlign w:val="center"/>
          </w:tcPr>
          <w:p w14:paraId="7CE2DA0B">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ascii="Times New Roman" w:hAnsi="Times New Roman" w:cs="Times New Roman"/>
                <w:kern w:val="2"/>
                <w:sz w:val="18"/>
                <w:szCs w:val="18"/>
              </w:rPr>
              <w:t>乡村因品牌建设而引进的商业项目</w:t>
            </w:r>
            <w:r>
              <w:rPr>
                <w:rFonts w:hint="eastAsia" w:ascii="Times New Roman" w:hAnsi="Times New Roman" w:cs="Times New Roman"/>
                <w:kern w:val="2"/>
                <w:sz w:val="18"/>
                <w:szCs w:val="18"/>
              </w:rPr>
              <w:t>。</w:t>
            </w:r>
          </w:p>
        </w:tc>
      </w:tr>
      <w:tr w14:paraId="26A28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1105" w:type="dxa"/>
            <w:vMerge w:val="continue"/>
            <w:tcBorders>
              <w:left w:val="single" w:color="auto" w:sz="4" w:space="0"/>
              <w:right w:val="single" w:color="auto" w:sz="4" w:space="0"/>
            </w:tcBorders>
            <w:vAlign w:val="center"/>
          </w:tcPr>
          <w:p w14:paraId="7E84FBE6">
            <w:pPr>
              <w:spacing w:line="240" w:lineRule="auto"/>
              <w:jc w:val="center"/>
              <w:rPr>
                <w:rFonts w:ascii="Times New Roman" w:hAnsi="Times New Roman"/>
                <w:sz w:val="18"/>
                <w:szCs w:val="18"/>
              </w:rPr>
            </w:pPr>
          </w:p>
        </w:tc>
        <w:tc>
          <w:tcPr>
            <w:tcW w:w="1189" w:type="dxa"/>
            <w:vMerge w:val="continue"/>
            <w:tcBorders>
              <w:left w:val="single" w:color="auto" w:sz="4" w:space="0"/>
              <w:right w:val="single" w:color="auto" w:sz="4" w:space="0"/>
            </w:tcBorders>
            <w:vAlign w:val="center"/>
          </w:tcPr>
          <w:p w14:paraId="4EC0A3C3">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18"/>
                <w:szCs w:val="18"/>
              </w:rPr>
            </w:pPr>
          </w:p>
        </w:tc>
        <w:tc>
          <w:tcPr>
            <w:tcW w:w="2271" w:type="dxa"/>
            <w:tcBorders>
              <w:top w:val="single" w:color="auto" w:sz="4" w:space="0"/>
              <w:left w:val="single" w:color="auto" w:sz="4" w:space="0"/>
              <w:bottom w:val="single" w:color="auto" w:sz="4" w:space="0"/>
              <w:right w:val="single" w:color="auto" w:sz="4" w:space="0"/>
            </w:tcBorders>
            <w:vAlign w:val="center"/>
          </w:tcPr>
          <w:p w14:paraId="4F574E53">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ascii="Times New Roman" w:hAnsi="Times New Roman" w:cs="Times New Roman"/>
                <w:kern w:val="2"/>
                <w:sz w:val="18"/>
                <w:szCs w:val="18"/>
              </w:rPr>
              <w:t>品牌融合度</w:t>
            </w:r>
          </w:p>
        </w:tc>
        <w:tc>
          <w:tcPr>
            <w:tcW w:w="4536" w:type="dxa"/>
            <w:tcBorders>
              <w:top w:val="single" w:color="auto" w:sz="4" w:space="0"/>
              <w:left w:val="single" w:color="auto" w:sz="4" w:space="0"/>
              <w:bottom w:val="single" w:color="auto" w:sz="4" w:space="0"/>
              <w:right w:val="single" w:color="auto" w:sz="4" w:space="0"/>
            </w:tcBorders>
            <w:vAlign w:val="center"/>
          </w:tcPr>
          <w:p w14:paraId="6364A1DD">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ascii="Times New Roman" w:hAnsi="Times New Roman" w:cs="Times New Roman"/>
                <w:kern w:val="2"/>
                <w:sz w:val="18"/>
                <w:szCs w:val="18"/>
              </w:rPr>
              <w:t>产业融合、产村融合、产城融合程度</w:t>
            </w:r>
            <w:r>
              <w:rPr>
                <w:rFonts w:hint="eastAsia" w:ascii="Times New Roman" w:hAnsi="Times New Roman" w:cs="Times New Roman"/>
                <w:kern w:val="2"/>
                <w:sz w:val="18"/>
                <w:szCs w:val="18"/>
              </w:rPr>
              <w:t>。</w:t>
            </w:r>
          </w:p>
        </w:tc>
      </w:tr>
      <w:tr w14:paraId="75CD4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1105" w:type="dxa"/>
            <w:vMerge w:val="continue"/>
            <w:tcBorders>
              <w:left w:val="single" w:color="auto" w:sz="4" w:space="0"/>
              <w:right w:val="single" w:color="auto" w:sz="4" w:space="0"/>
            </w:tcBorders>
            <w:vAlign w:val="center"/>
          </w:tcPr>
          <w:p w14:paraId="7778309D">
            <w:pPr>
              <w:spacing w:line="240" w:lineRule="auto"/>
              <w:jc w:val="center"/>
              <w:rPr>
                <w:rFonts w:ascii="Times New Roman" w:hAnsi="Times New Roman"/>
                <w:sz w:val="18"/>
                <w:szCs w:val="18"/>
              </w:rPr>
            </w:pPr>
          </w:p>
        </w:tc>
        <w:tc>
          <w:tcPr>
            <w:tcW w:w="1189" w:type="dxa"/>
            <w:vMerge w:val="continue"/>
            <w:tcBorders>
              <w:left w:val="single" w:color="auto" w:sz="4" w:space="0"/>
              <w:right w:val="single" w:color="auto" w:sz="4" w:space="0"/>
            </w:tcBorders>
            <w:vAlign w:val="center"/>
          </w:tcPr>
          <w:p w14:paraId="58EDED92">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18"/>
                <w:szCs w:val="18"/>
              </w:rPr>
            </w:pPr>
          </w:p>
        </w:tc>
        <w:tc>
          <w:tcPr>
            <w:tcW w:w="2271" w:type="dxa"/>
            <w:tcBorders>
              <w:top w:val="single" w:color="auto" w:sz="4" w:space="0"/>
              <w:left w:val="single" w:color="auto" w:sz="4" w:space="0"/>
              <w:bottom w:val="single" w:color="auto" w:sz="4" w:space="0"/>
              <w:right w:val="single" w:color="auto" w:sz="4" w:space="0"/>
            </w:tcBorders>
            <w:vAlign w:val="center"/>
          </w:tcPr>
          <w:p w14:paraId="3ABFE184">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ascii="Times New Roman" w:hAnsi="Times New Roman" w:cs="Times New Roman"/>
                <w:kern w:val="2"/>
                <w:sz w:val="18"/>
                <w:szCs w:val="18"/>
              </w:rPr>
              <w:t>带动就业人数</w:t>
            </w:r>
          </w:p>
        </w:tc>
        <w:tc>
          <w:tcPr>
            <w:tcW w:w="4536" w:type="dxa"/>
            <w:tcBorders>
              <w:top w:val="single" w:color="auto" w:sz="4" w:space="0"/>
              <w:left w:val="single" w:color="auto" w:sz="4" w:space="0"/>
              <w:bottom w:val="single" w:color="auto" w:sz="4" w:space="0"/>
              <w:right w:val="single" w:color="auto" w:sz="4" w:space="0"/>
            </w:tcBorders>
            <w:vAlign w:val="center"/>
          </w:tcPr>
          <w:p w14:paraId="6E3B58DF">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ascii="Times New Roman" w:hAnsi="Times New Roman" w:cs="Times New Roman"/>
                <w:kern w:val="2"/>
                <w:sz w:val="18"/>
                <w:szCs w:val="18"/>
              </w:rPr>
              <w:t>带动本地村民</w:t>
            </w:r>
            <w:r>
              <w:rPr>
                <w:rFonts w:hint="eastAsia" w:ascii="Times New Roman" w:hAnsi="Times New Roman" w:cs="Times New Roman"/>
                <w:kern w:val="2"/>
                <w:sz w:val="18"/>
                <w:szCs w:val="18"/>
              </w:rPr>
              <w:t>从事与</w:t>
            </w:r>
            <w:r>
              <w:rPr>
                <w:rFonts w:ascii="Times New Roman" w:hAnsi="Times New Roman" w:cs="Times New Roman"/>
                <w:kern w:val="2"/>
                <w:sz w:val="18"/>
                <w:szCs w:val="18"/>
              </w:rPr>
              <w:t>品牌相关的</w:t>
            </w:r>
            <w:r>
              <w:rPr>
                <w:rFonts w:hint="eastAsia" w:ascii="Times New Roman" w:hAnsi="Times New Roman" w:cs="Times New Roman"/>
                <w:kern w:val="2"/>
                <w:sz w:val="18"/>
                <w:szCs w:val="18"/>
              </w:rPr>
              <w:t>或品牌</w:t>
            </w:r>
            <w:r>
              <w:rPr>
                <w:rFonts w:ascii="Times New Roman" w:hAnsi="Times New Roman" w:cs="Times New Roman"/>
                <w:kern w:val="2"/>
                <w:sz w:val="18"/>
                <w:szCs w:val="18"/>
              </w:rPr>
              <w:t>产业链</w:t>
            </w:r>
            <w:r>
              <w:rPr>
                <w:rFonts w:hint="eastAsia" w:ascii="Times New Roman" w:hAnsi="Times New Roman" w:cs="Times New Roman"/>
                <w:kern w:val="2"/>
                <w:sz w:val="18"/>
                <w:szCs w:val="18"/>
              </w:rPr>
              <w:t>相关的</w:t>
            </w:r>
            <w:r>
              <w:rPr>
                <w:rFonts w:ascii="Times New Roman" w:hAnsi="Times New Roman" w:cs="Times New Roman"/>
                <w:kern w:val="2"/>
                <w:sz w:val="18"/>
                <w:szCs w:val="18"/>
              </w:rPr>
              <w:t>从业人口数、吸引外来务工人口数</w:t>
            </w:r>
            <w:r>
              <w:rPr>
                <w:rFonts w:hint="eastAsia" w:ascii="Times New Roman" w:hAnsi="Times New Roman" w:cs="Times New Roman"/>
                <w:kern w:val="2"/>
                <w:sz w:val="18"/>
                <w:szCs w:val="18"/>
              </w:rPr>
              <w:t>。</w:t>
            </w:r>
          </w:p>
        </w:tc>
      </w:tr>
      <w:tr w14:paraId="05DCE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1105" w:type="dxa"/>
            <w:vMerge w:val="continue"/>
            <w:tcBorders>
              <w:left w:val="single" w:color="auto" w:sz="4" w:space="0"/>
              <w:right w:val="single" w:color="auto" w:sz="4" w:space="0"/>
            </w:tcBorders>
            <w:vAlign w:val="center"/>
          </w:tcPr>
          <w:p w14:paraId="2E5A2AB2">
            <w:pPr>
              <w:spacing w:line="240" w:lineRule="auto"/>
              <w:jc w:val="center"/>
              <w:rPr>
                <w:rFonts w:ascii="Times New Roman" w:hAnsi="Times New Roman"/>
                <w:sz w:val="18"/>
                <w:szCs w:val="18"/>
              </w:rPr>
            </w:pPr>
          </w:p>
        </w:tc>
        <w:tc>
          <w:tcPr>
            <w:tcW w:w="1189" w:type="dxa"/>
            <w:vMerge w:val="restart"/>
            <w:tcBorders>
              <w:left w:val="single" w:color="auto" w:sz="4" w:space="0"/>
              <w:right w:val="single" w:color="auto" w:sz="4" w:space="0"/>
            </w:tcBorders>
            <w:vAlign w:val="center"/>
          </w:tcPr>
          <w:p w14:paraId="5424C881">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18"/>
                <w:szCs w:val="18"/>
              </w:rPr>
            </w:pPr>
            <w:r>
              <w:rPr>
                <w:rFonts w:hint="eastAsia" w:ascii="Times New Roman" w:hAnsi="Times New Roman" w:cs="Times New Roman"/>
                <w:b/>
                <w:bCs/>
                <w:kern w:val="2"/>
                <w:sz w:val="18"/>
                <w:szCs w:val="18"/>
              </w:rPr>
              <w:t>形象影响力</w:t>
            </w:r>
          </w:p>
        </w:tc>
        <w:tc>
          <w:tcPr>
            <w:tcW w:w="2271" w:type="dxa"/>
            <w:tcBorders>
              <w:top w:val="single" w:color="auto" w:sz="4" w:space="0"/>
              <w:left w:val="single" w:color="auto" w:sz="4" w:space="0"/>
              <w:bottom w:val="single" w:color="auto" w:sz="4" w:space="0"/>
              <w:right w:val="single" w:color="auto" w:sz="4" w:space="0"/>
            </w:tcBorders>
            <w:vAlign w:val="center"/>
          </w:tcPr>
          <w:p w14:paraId="222CCE8A">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ascii="Times New Roman" w:hAnsi="Times New Roman" w:cs="Times New Roman"/>
                <w:kern w:val="2"/>
                <w:sz w:val="18"/>
                <w:szCs w:val="18"/>
              </w:rPr>
              <w:t>媒体影响力</w:t>
            </w:r>
          </w:p>
        </w:tc>
        <w:tc>
          <w:tcPr>
            <w:tcW w:w="4536" w:type="dxa"/>
            <w:tcBorders>
              <w:top w:val="single" w:color="auto" w:sz="4" w:space="0"/>
              <w:left w:val="single" w:color="auto" w:sz="4" w:space="0"/>
              <w:bottom w:val="single" w:color="auto" w:sz="4" w:space="0"/>
              <w:right w:val="single" w:color="auto" w:sz="4" w:space="0"/>
            </w:tcBorders>
            <w:vAlign w:val="center"/>
          </w:tcPr>
          <w:p w14:paraId="2BFC3729">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ascii="Times New Roman" w:hAnsi="Times New Roman" w:cs="Times New Roman"/>
                <w:kern w:val="2"/>
                <w:sz w:val="18"/>
                <w:szCs w:val="18"/>
              </w:rPr>
              <w:t>媒体报道的数量及正负面评价、点赞数</w:t>
            </w:r>
            <w:r>
              <w:rPr>
                <w:rFonts w:hint="eastAsia" w:ascii="Times New Roman" w:hAnsi="Times New Roman" w:cs="Times New Roman"/>
                <w:kern w:val="2"/>
                <w:sz w:val="18"/>
                <w:szCs w:val="18"/>
              </w:rPr>
              <w:t>。</w:t>
            </w:r>
          </w:p>
        </w:tc>
      </w:tr>
      <w:tr w14:paraId="4EB28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1105" w:type="dxa"/>
            <w:vMerge w:val="continue"/>
            <w:tcBorders>
              <w:left w:val="single" w:color="auto" w:sz="4" w:space="0"/>
              <w:right w:val="single" w:color="auto" w:sz="4" w:space="0"/>
            </w:tcBorders>
            <w:vAlign w:val="center"/>
          </w:tcPr>
          <w:p w14:paraId="0171D0D3">
            <w:pPr>
              <w:spacing w:line="240" w:lineRule="auto"/>
              <w:jc w:val="center"/>
              <w:rPr>
                <w:rFonts w:ascii="Times New Roman" w:hAnsi="Times New Roman"/>
                <w:sz w:val="18"/>
                <w:szCs w:val="18"/>
              </w:rPr>
            </w:pPr>
          </w:p>
        </w:tc>
        <w:tc>
          <w:tcPr>
            <w:tcW w:w="1189" w:type="dxa"/>
            <w:vMerge w:val="continue"/>
            <w:tcBorders>
              <w:left w:val="single" w:color="auto" w:sz="4" w:space="0"/>
              <w:right w:val="single" w:color="auto" w:sz="4" w:space="0"/>
            </w:tcBorders>
            <w:vAlign w:val="center"/>
          </w:tcPr>
          <w:p w14:paraId="0664EB6C">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18"/>
                <w:szCs w:val="18"/>
              </w:rPr>
            </w:pPr>
          </w:p>
        </w:tc>
        <w:tc>
          <w:tcPr>
            <w:tcW w:w="2271" w:type="dxa"/>
            <w:tcBorders>
              <w:top w:val="single" w:color="auto" w:sz="4" w:space="0"/>
              <w:left w:val="single" w:color="auto" w:sz="4" w:space="0"/>
              <w:bottom w:val="single" w:color="auto" w:sz="4" w:space="0"/>
              <w:right w:val="single" w:color="auto" w:sz="4" w:space="0"/>
            </w:tcBorders>
            <w:vAlign w:val="center"/>
          </w:tcPr>
          <w:p w14:paraId="68A84D9F">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旅</w:t>
            </w:r>
            <w:r>
              <w:rPr>
                <w:rFonts w:ascii="Times New Roman" w:hAnsi="Times New Roman" w:cs="Times New Roman"/>
                <w:kern w:val="2"/>
                <w:sz w:val="18"/>
                <w:szCs w:val="18"/>
              </w:rPr>
              <w:t>客影响力</w:t>
            </w:r>
          </w:p>
        </w:tc>
        <w:tc>
          <w:tcPr>
            <w:tcW w:w="4536" w:type="dxa"/>
            <w:tcBorders>
              <w:top w:val="single" w:color="auto" w:sz="4" w:space="0"/>
              <w:left w:val="single" w:color="auto" w:sz="4" w:space="0"/>
              <w:bottom w:val="single" w:color="auto" w:sz="4" w:space="0"/>
              <w:right w:val="single" w:color="auto" w:sz="4" w:space="0"/>
            </w:tcBorders>
            <w:vAlign w:val="center"/>
          </w:tcPr>
          <w:p w14:paraId="1BB6CBBB">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ascii="Times New Roman" w:hAnsi="Times New Roman" w:cs="Times New Roman"/>
                <w:kern w:val="2"/>
                <w:sz w:val="18"/>
                <w:szCs w:val="18"/>
              </w:rPr>
              <w:t>近三年</w:t>
            </w:r>
            <w:r>
              <w:rPr>
                <w:rFonts w:hint="eastAsia" w:ascii="Times New Roman" w:hAnsi="Times New Roman" w:cs="Times New Roman"/>
                <w:kern w:val="2"/>
                <w:sz w:val="18"/>
                <w:szCs w:val="18"/>
              </w:rPr>
              <w:t>旅</w:t>
            </w:r>
            <w:r>
              <w:rPr>
                <w:rFonts w:ascii="Times New Roman" w:hAnsi="Times New Roman" w:cs="Times New Roman"/>
                <w:kern w:val="2"/>
                <w:sz w:val="18"/>
                <w:szCs w:val="18"/>
              </w:rPr>
              <w:t>客增长率、增长绝对值</w:t>
            </w:r>
            <w:r>
              <w:rPr>
                <w:rFonts w:hint="eastAsia" w:ascii="Times New Roman" w:hAnsi="Times New Roman" w:cs="Times New Roman"/>
                <w:kern w:val="2"/>
                <w:sz w:val="18"/>
                <w:szCs w:val="18"/>
              </w:rPr>
              <w:t>。</w:t>
            </w:r>
          </w:p>
        </w:tc>
      </w:tr>
      <w:tr w14:paraId="3E2F9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1105" w:type="dxa"/>
            <w:vMerge w:val="continue"/>
            <w:tcBorders>
              <w:left w:val="single" w:color="auto" w:sz="4" w:space="0"/>
              <w:right w:val="single" w:color="auto" w:sz="4" w:space="0"/>
            </w:tcBorders>
            <w:vAlign w:val="center"/>
          </w:tcPr>
          <w:p w14:paraId="783FEB1F">
            <w:pPr>
              <w:spacing w:line="240" w:lineRule="auto"/>
              <w:jc w:val="center"/>
              <w:rPr>
                <w:rFonts w:ascii="Times New Roman" w:hAnsi="Times New Roman"/>
                <w:sz w:val="18"/>
                <w:szCs w:val="18"/>
              </w:rPr>
            </w:pPr>
          </w:p>
        </w:tc>
        <w:tc>
          <w:tcPr>
            <w:tcW w:w="1189" w:type="dxa"/>
            <w:vMerge w:val="continue"/>
            <w:tcBorders>
              <w:left w:val="single" w:color="auto" w:sz="4" w:space="0"/>
              <w:right w:val="single" w:color="auto" w:sz="4" w:space="0"/>
            </w:tcBorders>
            <w:vAlign w:val="center"/>
          </w:tcPr>
          <w:p w14:paraId="472BF87A">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18"/>
                <w:szCs w:val="18"/>
              </w:rPr>
            </w:pPr>
          </w:p>
        </w:tc>
        <w:tc>
          <w:tcPr>
            <w:tcW w:w="2271" w:type="dxa"/>
            <w:tcBorders>
              <w:top w:val="single" w:color="auto" w:sz="4" w:space="0"/>
              <w:left w:val="single" w:color="auto" w:sz="4" w:space="0"/>
              <w:bottom w:val="single" w:color="auto" w:sz="4" w:space="0"/>
              <w:right w:val="single" w:color="auto" w:sz="4" w:space="0"/>
            </w:tcBorders>
            <w:vAlign w:val="center"/>
          </w:tcPr>
          <w:p w14:paraId="7CE82FAA">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ascii="Times New Roman" w:hAnsi="Times New Roman" w:cs="Times New Roman"/>
                <w:kern w:val="2"/>
                <w:sz w:val="18"/>
                <w:szCs w:val="18"/>
              </w:rPr>
              <w:t>政府影响力</w:t>
            </w:r>
          </w:p>
        </w:tc>
        <w:tc>
          <w:tcPr>
            <w:tcW w:w="4536" w:type="dxa"/>
            <w:tcBorders>
              <w:top w:val="single" w:color="auto" w:sz="4" w:space="0"/>
              <w:left w:val="single" w:color="auto" w:sz="4" w:space="0"/>
              <w:bottom w:val="single" w:color="auto" w:sz="4" w:space="0"/>
              <w:right w:val="single" w:color="auto" w:sz="4" w:space="0"/>
            </w:tcBorders>
            <w:vAlign w:val="center"/>
          </w:tcPr>
          <w:p w14:paraId="72799AAB">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ascii="Times New Roman" w:hAnsi="Times New Roman" w:cs="Times New Roman"/>
                <w:kern w:val="2"/>
                <w:sz w:val="18"/>
                <w:szCs w:val="18"/>
              </w:rPr>
              <w:t>领导批示、财政</w:t>
            </w:r>
            <w:r>
              <w:rPr>
                <w:rFonts w:hint="eastAsia" w:ascii="Times New Roman" w:hAnsi="Times New Roman" w:cs="Times New Roman"/>
                <w:color w:val="000000" w:themeColor="text1"/>
                <w:kern w:val="2"/>
                <w:sz w:val="18"/>
                <w:szCs w:val="18"/>
                <w14:textFill>
                  <w14:solidFill>
                    <w14:schemeClr w14:val="tx1"/>
                  </w14:solidFill>
                </w14:textFill>
              </w:rPr>
              <w:t>项目</w:t>
            </w:r>
            <w:r>
              <w:rPr>
                <w:rFonts w:ascii="Times New Roman" w:hAnsi="Times New Roman" w:cs="Times New Roman"/>
                <w:kern w:val="2"/>
                <w:sz w:val="18"/>
                <w:szCs w:val="18"/>
              </w:rPr>
              <w:t>或</w:t>
            </w:r>
            <w:r>
              <w:rPr>
                <w:rFonts w:hint="eastAsia" w:ascii="Times New Roman" w:hAnsi="Times New Roman" w:cs="Times New Roman"/>
                <w:kern w:val="2"/>
                <w:sz w:val="18"/>
                <w:szCs w:val="18"/>
              </w:rPr>
              <w:t>其它</w:t>
            </w:r>
            <w:r>
              <w:rPr>
                <w:rFonts w:ascii="Times New Roman" w:hAnsi="Times New Roman" w:cs="Times New Roman"/>
                <w:kern w:val="2"/>
                <w:sz w:val="18"/>
                <w:szCs w:val="18"/>
              </w:rPr>
              <w:t>政策支持</w:t>
            </w:r>
            <w:r>
              <w:rPr>
                <w:rFonts w:hint="eastAsia" w:ascii="Times New Roman" w:hAnsi="Times New Roman" w:cs="Times New Roman"/>
                <w:kern w:val="2"/>
                <w:sz w:val="18"/>
                <w:szCs w:val="18"/>
              </w:rPr>
              <w:t>。</w:t>
            </w:r>
          </w:p>
        </w:tc>
      </w:tr>
      <w:tr w14:paraId="2819D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1105" w:type="dxa"/>
            <w:vMerge w:val="continue"/>
            <w:tcBorders>
              <w:left w:val="single" w:color="auto" w:sz="4" w:space="0"/>
              <w:right w:val="single" w:color="auto" w:sz="4" w:space="0"/>
            </w:tcBorders>
            <w:vAlign w:val="center"/>
          </w:tcPr>
          <w:p w14:paraId="50ED9822">
            <w:pPr>
              <w:spacing w:line="240" w:lineRule="auto"/>
              <w:jc w:val="center"/>
              <w:rPr>
                <w:rFonts w:ascii="Times New Roman" w:hAnsi="Times New Roman"/>
                <w:sz w:val="18"/>
                <w:szCs w:val="18"/>
              </w:rPr>
            </w:pPr>
          </w:p>
        </w:tc>
        <w:tc>
          <w:tcPr>
            <w:tcW w:w="1189" w:type="dxa"/>
            <w:vMerge w:val="restart"/>
            <w:tcBorders>
              <w:left w:val="single" w:color="auto" w:sz="4" w:space="0"/>
              <w:right w:val="single" w:color="auto" w:sz="4" w:space="0"/>
            </w:tcBorders>
            <w:vAlign w:val="center"/>
          </w:tcPr>
          <w:p w14:paraId="45F22864">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18"/>
                <w:szCs w:val="18"/>
              </w:rPr>
            </w:pPr>
            <w:r>
              <w:rPr>
                <w:rFonts w:hint="eastAsia" w:ascii="Times New Roman" w:hAnsi="Times New Roman" w:cs="Times New Roman"/>
                <w:b/>
                <w:bCs/>
                <w:kern w:val="2"/>
                <w:sz w:val="18"/>
                <w:szCs w:val="18"/>
              </w:rPr>
              <w:t>经济推动力</w:t>
            </w:r>
          </w:p>
        </w:tc>
        <w:tc>
          <w:tcPr>
            <w:tcW w:w="2271" w:type="dxa"/>
            <w:tcBorders>
              <w:top w:val="single" w:color="auto" w:sz="4" w:space="0"/>
              <w:left w:val="single" w:color="auto" w:sz="4" w:space="0"/>
              <w:bottom w:val="single" w:color="auto" w:sz="4" w:space="0"/>
              <w:right w:val="single" w:color="auto" w:sz="4" w:space="0"/>
            </w:tcBorders>
            <w:vAlign w:val="center"/>
          </w:tcPr>
          <w:p w14:paraId="76046E93">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集体</w:t>
            </w:r>
            <w:r>
              <w:rPr>
                <w:rFonts w:ascii="Times New Roman" w:hAnsi="Times New Roman" w:cs="Times New Roman"/>
                <w:kern w:val="2"/>
                <w:sz w:val="18"/>
                <w:szCs w:val="18"/>
              </w:rPr>
              <w:t>经济效益</w:t>
            </w:r>
          </w:p>
        </w:tc>
        <w:tc>
          <w:tcPr>
            <w:tcW w:w="4536" w:type="dxa"/>
            <w:tcBorders>
              <w:top w:val="single" w:color="auto" w:sz="4" w:space="0"/>
              <w:left w:val="single" w:color="auto" w:sz="4" w:space="0"/>
              <w:bottom w:val="single" w:color="auto" w:sz="4" w:space="0"/>
              <w:right w:val="single" w:color="auto" w:sz="4" w:space="0"/>
            </w:tcBorders>
            <w:vAlign w:val="center"/>
          </w:tcPr>
          <w:p w14:paraId="2312ECF9">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ascii="Times New Roman" w:hAnsi="Times New Roman" w:cs="Times New Roman"/>
                <w:kern w:val="2"/>
                <w:sz w:val="18"/>
                <w:szCs w:val="18"/>
              </w:rPr>
              <w:t>近三年村集体收入增长率、增长（绝对）值</w:t>
            </w:r>
            <w:r>
              <w:rPr>
                <w:rFonts w:hint="eastAsia" w:ascii="Times New Roman" w:hAnsi="Times New Roman" w:cs="Times New Roman"/>
                <w:kern w:val="2"/>
                <w:sz w:val="18"/>
                <w:szCs w:val="18"/>
              </w:rPr>
              <w:t>。</w:t>
            </w:r>
          </w:p>
        </w:tc>
      </w:tr>
      <w:tr w14:paraId="54190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1105" w:type="dxa"/>
            <w:vMerge w:val="continue"/>
            <w:tcBorders>
              <w:left w:val="single" w:color="auto" w:sz="4" w:space="0"/>
              <w:right w:val="single" w:color="auto" w:sz="4" w:space="0"/>
            </w:tcBorders>
            <w:vAlign w:val="center"/>
          </w:tcPr>
          <w:p w14:paraId="7694B891">
            <w:pPr>
              <w:spacing w:line="240" w:lineRule="auto"/>
              <w:jc w:val="center"/>
              <w:rPr>
                <w:rFonts w:ascii="Times New Roman" w:hAnsi="Times New Roman"/>
                <w:sz w:val="18"/>
                <w:szCs w:val="18"/>
              </w:rPr>
            </w:pPr>
          </w:p>
        </w:tc>
        <w:tc>
          <w:tcPr>
            <w:tcW w:w="1189" w:type="dxa"/>
            <w:vMerge w:val="continue"/>
            <w:tcBorders>
              <w:left w:val="single" w:color="auto" w:sz="4" w:space="0"/>
              <w:right w:val="single" w:color="auto" w:sz="4" w:space="0"/>
            </w:tcBorders>
            <w:vAlign w:val="center"/>
          </w:tcPr>
          <w:p w14:paraId="42797954">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18"/>
                <w:szCs w:val="18"/>
              </w:rPr>
            </w:pPr>
          </w:p>
        </w:tc>
        <w:tc>
          <w:tcPr>
            <w:tcW w:w="2271" w:type="dxa"/>
            <w:tcBorders>
              <w:top w:val="single" w:color="auto" w:sz="4" w:space="0"/>
              <w:left w:val="single" w:color="auto" w:sz="4" w:space="0"/>
              <w:bottom w:val="single" w:color="auto" w:sz="4" w:space="0"/>
              <w:right w:val="single" w:color="auto" w:sz="4" w:space="0"/>
            </w:tcBorders>
            <w:vAlign w:val="center"/>
          </w:tcPr>
          <w:p w14:paraId="49305F83">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个体</w:t>
            </w:r>
            <w:r>
              <w:rPr>
                <w:rFonts w:ascii="Times New Roman" w:hAnsi="Times New Roman" w:cs="Times New Roman"/>
                <w:kern w:val="2"/>
                <w:sz w:val="18"/>
                <w:szCs w:val="18"/>
              </w:rPr>
              <w:t>经济效益</w:t>
            </w:r>
          </w:p>
        </w:tc>
        <w:tc>
          <w:tcPr>
            <w:tcW w:w="4536" w:type="dxa"/>
            <w:tcBorders>
              <w:top w:val="single" w:color="auto" w:sz="4" w:space="0"/>
              <w:left w:val="single" w:color="auto" w:sz="4" w:space="0"/>
              <w:bottom w:val="single" w:color="auto" w:sz="4" w:space="0"/>
              <w:right w:val="single" w:color="auto" w:sz="4" w:space="0"/>
            </w:tcBorders>
            <w:vAlign w:val="center"/>
          </w:tcPr>
          <w:p w14:paraId="5FCCEFD1">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近三年</w:t>
            </w:r>
            <w:r>
              <w:rPr>
                <w:rFonts w:ascii="Times New Roman" w:hAnsi="Times New Roman" w:cs="Times New Roman"/>
                <w:kern w:val="2"/>
                <w:sz w:val="18"/>
                <w:szCs w:val="18"/>
              </w:rPr>
              <w:t>户均收入增长率、增长（绝对）值</w:t>
            </w:r>
            <w:r>
              <w:rPr>
                <w:rFonts w:hint="eastAsia" w:ascii="Times New Roman" w:hAnsi="Times New Roman" w:cs="Times New Roman"/>
                <w:kern w:val="2"/>
                <w:sz w:val="18"/>
                <w:szCs w:val="18"/>
              </w:rPr>
              <w:t>。</w:t>
            </w:r>
          </w:p>
        </w:tc>
      </w:tr>
      <w:tr w14:paraId="2D3A3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1105" w:type="dxa"/>
            <w:vMerge w:val="continue"/>
            <w:tcBorders>
              <w:left w:val="single" w:color="auto" w:sz="4" w:space="0"/>
              <w:right w:val="single" w:color="auto" w:sz="4" w:space="0"/>
            </w:tcBorders>
            <w:vAlign w:val="center"/>
          </w:tcPr>
          <w:p w14:paraId="2DED52B6">
            <w:pPr>
              <w:spacing w:line="240" w:lineRule="auto"/>
              <w:jc w:val="center"/>
              <w:rPr>
                <w:rFonts w:ascii="Times New Roman" w:hAnsi="Times New Roman"/>
                <w:sz w:val="18"/>
                <w:szCs w:val="18"/>
              </w:rPr>
            </w:pPr>
          </w:p>
        </w:tc>
        <w:tc>
          <w:tcPr>
            <w:tcW w:w="1189" w:type="dxa"/>
            <w:vMerge w:val="restart"/>
            <w:tcBorders>
              <w:left w:val="single" w:color="auto" w:sz="4" w:space="0"/>
              <w:right w:val="single" w:color="auto" w:sz="4" w:space="0"/>
            </w:tcBorders>
            <w:vAlign w:val="center"/>
          </w:tcPr>
          <w:p w14:paraId="048AC971">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18"/>
                <w:szCs w:val="18"/>
              </w:rPr>
            </w:pPr>
            <w:r>
              <w:rPr>
                <w:rFonts w:hint="eastAsia" w:ascii="Times New Roman" w:hAnsi="Times New Roman" w:cs="Times New Roman"/>
                <w:b/>
                <w:bCs/>
                <w:kern w:val="2"/>
                <w:sz w:val="18"/>
                <w:szCs w:val="18"/>
              </w:rPr>
              <w:t>文化贡献力</w:t>
            </w:r>
          </w:p>
        </w:tc>
        <w:tc>
          <w:tcPr>
            <w:tcW w:w="2271" w:type="dxa"/>
            <w:tcBorders>
              <w:top w:val="single" w:color="auto" w:sz="4" w:space="0"/>
              <w:left w:val="single" w:color="auto" w:sz="4" w:space="0"/>
              <w:bottom w:val="single" w:color="auto" w:sz="4" w:space="0"/>
              <w:right w:val="single" w:color="auto" w:sz="4" w:space="0"/>
            </w:tcBorders>
            <w:vAlign w:val="center"/>
          </w:tcPr>
          <w:p w14:paraId="5B5EA5CD">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ascii="Times New Roman" w:hAnsi="Times New Roman" w:cs="Times New Roman"/>
                <w:kern w:val="2"/>
                <w:sz w:val="18"/>
                <w:szCs w:val="18"/>
              </w:rPr>
              <w:t>特色文化传承</w:t>
            </w:r>
          </w:p>
        </w:tc>
        <w:tc>
          <w:tcPr>
            <w:tcW w:w="4536" w:type="dxa"/>
            <w:tcBorders>
              <w:top w:val="single" w:color="auto" w:sz="4" w:space="0"/>
              <w:left w:val="single" w:color="auto" w:sz="4" w:space="0"/>
              <w:bottom w:val="single" w:color="auto" w:sz="4" w:space="0"/>
              <w:right w:val="single" w:color="auto" w:sz="4" w:space="0"/>
            </w:tcBorders>
            <w:vAlign w:val="center"/>
          </w:tcPr>
          <w:p w14:paraId="590B9AB0">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ascii="Times New Roman" w:hAnsi="Times New Roman"/>
                <w:sz w:val="18"/>
                <w:szCs w:val="18"/>
              </w:rPr>
              <w:t>非遗文化、历史文脉、民俗文化</w:t>
            </w:r>
            <w:r>
              <w:rPr>
                <w:rFonts w:hint="eastAsia" w:ascii="Times New Roman" w:hAnsi="Times New Roman"/>
                <w:sz w:val="18"/>
                <w:szCs w:val="18"/>
              </w:rPr>
              <w:t>的传承。</w:t>
            </w:r>
          </w:p>
        </w:tc>
      </w:tr>
      <w:tr w14:paraId="4212B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1105" w:type="dxa"/>
            <w:vMerge w:val="continue"/>
            <w:tcBorders>
              <w:left w:val="single" w:color="auto" w:sz="4" w:space="0"/>
              <w:right w:val="single" w:color="auto" w:sz="4" w:space="0"/>
            </w:tcBorders>
            <w:vAlign w:val="center"/>
          </w:tcPr>
          <w:p w14:paraId="4A117EC6">
            <w:pPr>
              <w:spacing w:line="240" w:lineRule="auto"/>
              <w:jc w:val="center"/>
              <w:rPr>
                <w:rFonts w:ascii="Times New Roman" w:hAnsi="Times New Roman"/>
                <w:sz w:val="18"/>
                <w:szCs w:val="18"/>
              </w:rPr>
            </w:pPr>
          </w:p>
        </w:tc>
        <w:tc>
          <w:tcPr>
            <w:tcW w:w="1189" w:type="dxa"/>
            <w:vMerge w:val="continue"/>
            <w:tcBorders>
              <w:left w:val="single" w:color="auto" w:sz="4" w:space="0"/>
              <w:right w:val="single" w:color="auto" w:sz="4" w:space="0"/>
            </w:tcBorders>
            <w:vAlign w:val="center"/>
          </w:tcPr>
          <w:p w14:paraId="1C394B52">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18"/>
                <w:szCs w:val="18"/>
              </w:rPr>
            </w:pPr>
          </w:p>
        </w:tc>
        <w:tc>
          <w:tcPr>
            <w:tcW w:w="2271" w:type="dxa"/>
            <w:tcBorders>
              <w:top w:val="single" w:color="auto" w:sz="4" w:space="0"/>
              <w:left w:val="single" w:color="auto" w:sz="4" w:space="0"/>
              <w:bottom w:val="single" w:color="auto" w:sz="4" w:space="0"/>
              <w:right w:val="single" w:color="auto" w:sz="4" w:space="0"/>
            </w:tcBorders>
            <w:vAlign w:val="center"/>
          </w:tcPr>
          <w:p w14:paraId="5D0B5703">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特色文化活化</w:t>
            </w:r>
          </w:p>
        </w:tc>
        <w:tc>
          <w:tcPr>
            <w:tcW w:w="4536" w:type="dxa"/>
            <w:tcBorders>
              <w:top w:val="single" w:color="auto" w:sz="4" w:space="0"/>
              <w:left w:val="single" w:color="auto" w:sz="4" w:space="0"/>
              <w:bottom w:val="single" w:color="auto" w:sz="4" w:space="0"/>
              <w:right w:val="single" w:color="auto" w:sz="4" w:space="0"/>
            </w:tcBorders>
            <w:vAlign w:val="center"/>
          </w:tcPr>
          <w:p w14:paraId="17160035">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ascii="Times New Roman" w:hAnsi="Times New Roman"/>
                <w:sz w:val="18"/>
                <w:szCs w:val="18"/>
              </w:rPr>
              <w:t>非遗文化、历史文脉、民俗文化</w:t>
            </w:r>
            <w:r>
              <w:rPr>
                <w:rFonts w:hint="eastAsia" w:ascii="Times New Roman" w:hAnsi="Times New Roman"/>
                <w:sz w:val="18"/>
                <w:szCs w:val="18"/>
              </w:rPr>
              <w:t>的活化。</w:t>
            </w:r>
          </w:p>
        </w:tc>
      </w:tr>
      <w:tr w14:paraId="5849F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1105" w:type="dxa"/>
            <w:vMerge w:val="continue"/>
            <w:tcBorders>
              <w:left w:val="single" w:color="auto" w:sz="4" w:space="0"/>
              <w:right w:val="single" w:color="auto" w:sz="4" w:space="0"/>
            </w:tcBorders>
            <w:vAlign w:val="center"/>
          </w:tcPr>
          <w:p w14:paraId="1A349F3C">
            <w:pPr>
              <w:spacing w:line="240" w:lineRule="auto"/>
              <w:jc w:val="center"/>
              <w:rPr>
                <w:rFonts w:ascii="Times New Roman" w:hAnsi="Times New Roman"/>
                <w:sz w:val="18"/>
                <w:szCs w:val="18"/>
              </w:rPr>
            </w:pPr>
          </w:p>
        </w:tc>
        <w:tc>
          <w:tcPr>
            <w:tcW w:w="1189" w:type="dxa"/>
            <w:vMerge w:val="restart"/>
            <w:tcBorders>
              <w:left w:val="single" w:color="auto" w:sz="4" w:space="0"/>
              <w:right w:val="single" w:color="auto" w:sz="4" w:space="0"/>
            </w:tcBorders>
            <w:vAlign w:val="center"/>
          </w:tcPr>
          <w:p w14:paraId="6FCD89C6">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18"/>
                <w:szCs w:val="18"/>
              </w:rPr>
            </w:pPr>
            <w:r>
              <w:rPr>
                <w:rFonts w:hint="eastAsia" w:ascii="Times New Roman" w:hAnsi="Times New Roman" w:cs="Times New Roman"/>
                <w:b/>
                <w:bCs/>
                <w:kern w:val="2"/>
                <w:sz w:val="18"/>
                <w:szCs w:val="18"/>
              </w:rPr>
              <w:t>机制创新力</w:t>
            </w:r>
          </w:p>
        </w:tc>
        <w:tc>
          <w:tcPr>
            <w:tcW w:w="2271" w:type="dxa"/>
            <w:tcBorders>
              <w:top w:val="single" w:color="auto" w:sz="4" w:space="0"/>
              <w:left w:val="single" w:color="auto" w:sz="4" w:space="0"/>
              <w:bottom w:val="single" w:color="auto" w:sz="4" w:space="0"/>
              <w:right w:val="single" w:color="auto" w:sz="4" w:space="0"/>
            </w:tcBorders>
            <w:vAlign w:val="center"/>
          </w:tcPr>
          <w:p w14:paraId="3B2B6DFC">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ascii="Times New Roman" w:hAnsi="Times New Roman" w:cs="Times New Roman"/>
                <w:kern w:val="2"/>
                <w:sz w:val="18"/>
                <w:szCs w:val="18"/>
              </w:rPr>
              <w:t>模式创新性</w:t>
            </w:r>
          </w:p>
        </w:tc>
        <w:tc>
          <w:tcPr>
            <w:tcW w:w="4536" w:type="dxa"/>
            <w:tcBorders>
              <w:top w:val="single" w:color="auto" w:sz="4" w:space="0"/>
              <w:left w:val="single" w:color="auto" w:sz="4" w:space="0"/>
              <w:bottom w:val="single" w:color="auto" w:sz="4" w:space="0"/>
              <w:right w:val="single" w:color="auto" w:sz="4" w:space="0"/>
            </w:tcBorders>
            <w:vAlign w:val="center"/>
          </w:tcPr>
          <w:p w14:paraId="0C273C89">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ascii="Times New Roman" w:hAnsi="Times New Roman"/>
                <w:sz w:val="18"/>
                <w:szCs w:val="18"/>
              </w:rPr>
              <w:t>管理、利益分配、合作</w:t>
            </w:r>
            <w:r>
              <w:rPr>
                <w:rFonts w:hint="eastAsia" w:ascii="Times New Roman" w:hAnsi="Times New Roman"/>
                <w:sz w:val="18"/>
                <w:szCs w:val="18"/>
              </w:rPr>
              <w:t>机制</w:t>
            </w:r>
            <w:r>
              <w:rPr>
                <w:rFonts w:ascii="Times New Roman" w:hAnsi="Times New Roman"/>
                <w:sz w:val="18"/>
                <w:szCs w:val="18"/>
              </w:rPr>
              <w:t>等方面有创新</w:t>
            </w:r>
            <w:r>
              <w:rPr>
                <w:rFonts w:hint="eastAsia" w:ascii="Times New Roman" w:hAnsi="Times New Roman"/>
                <w:sz w:val="18"/>
                <w:szCs w:val="18"/>
              </w:rPr>
              <w:t>。</w:t>
            </w:r>
          </w:p>
        </w:tc>
      </w:tr>
      <w:tr w14:paraId="43BB9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1105" w:type="dxa"/>
            <w:vMerge w:val="continue"/>
            <w:tcBorders>
              <w:left w:val="single" w:color="auto" w:sz="4" w:space="0"/>
              <w:right w:val="single" w:color="auto" w:sz="4" w:space="0"/>
            </w:tcBorders>
            <w:vAlign w:val="center"/>
          </w:tcPr>
          <w:p w14:paraId="2B3E8ED8">
            <w:pPr>
              <w:spacing w:line="240" w:lineRule="auto"/>
              <w:jc w:val="center"/>
              <w:rPr>
                <w:rFonts w:ascii="Times New Roman" w:hAnsi="Times New Roman"/>
                <w:sz w:val="18"/>
                <w:szCs w:val="18"/>
              </w:rPr>
            </w:pPr>
          </w:p>
        </w:tc>
        <w:tc>
          <w:tcPr>
            <w:tcW w:w="1189" w:type="dxa"/>
            <w:vMerge w:val="continue"/>
            <w:tcBorders>
              <w:left w:val="single" w:color="auto" w:sz="4" w:space="0"/>
              <w:right w:val="single" w:color="auto" w:sz="4" w:space="0"/>
            </w:tcBorders>
            <w:vAlign w:val="center"/>
          </w:tcPr>
          <w:p w14:paraId="19FACFA9">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p>
        </w:tc>
        <w:tc>
          <w:tcPr>
            <w:tcW w:w="2271" w:type="dxa"/>
            <w:tcBorders>
              <w:top w:val="single" w:color="auto" w:sz="4" w:space="0"/>
              <w:left w:val="single" w:color="auto" w:sz="4" w:space="0"/>
              <w:right w:val="single" w:color="auto" w:sz="4" w:space="0"/>
            </w:tcBorders>
            <w:vAlign w:val="center"/>
          </w:tcPr>
          <w:p w14:paraId="45FD3C0B">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ascii="Times New Roman" w:hAnsi="Times New Roman" w:cs="Times New Roman"/>
                <w:kern w:val="2"/>
                <w:sz w:val="18"/>
                <w:szCs w:val="18"/>
              </w:rPr>
              <w:t>模式</w:t>
            </w:r>
            <w:r>
              <w:rPr>
                <w:rFonts w:hint="eastAsia" w:ascii="Times New Roman" w:hAnsi="Times New Roman" w:cs="Times New Roman"/>
                <w:kern w:val="2"/>
                <w:sz w:val="18"/>
                <w:szCs w:val="18"/>
              </w:rPr>
              <w:t>典范</w:t>
            </w:r>
            <w:r>
              <w:rPr>
                <w:rFonts w:ascii="Times New Roman" w:hAnsi="Times New Roman" w:cs="Times New Roman"/>
                <w:kern w:val="2"/>
                <w:sz w:val="18"/>
                <w:szCs w:val="18"/>
              </w:rPr>
              <w:t>性</w:t>
            </w:r>
          </w:p>
        </w:tc>
        <w:tc>
          <w:tcPr>
            <w:tcW w:w="4536" w:type="dxa"/>
            <w:tcBorders>
              <w:top w:val="single" w:color="auto" w:sz="4" w:space="0"/>
              <w:left w:val="single" w:color="auto" w:sz="4" w:space="0"/>
              <w:right w:val="single" w:color="auto" w:sz="4" w:space="0"/>
            </w:tcBorders>
            <w:vAlign w:val="center"/>
          </w:tcPr>
          <w:p w14:paraId="1EF54DEF">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ascii="Times New Roman" w:hAnsi="Times New Roman"/>
                <w:sz w:val="18"/>
                <w:szCs w:val="18"/>
              </w:rPr>
              <w:t>品牌乡村运营模式</w:t>
            </w:r>
            <w:r>
              <w:rPr>
                <w:rFonts w:hint="eastAsia" w:ascii="Times New Roman" w:hAnsi="Times New Roman"/>
                <w:sz w:val="18"/>
                <w:szCs w:val="18"/>
              </w:rPr>
              <w:t>在其它乡村</w:t>
            </w:r>
            <w:r>
              <w:rPr>
                <w:rFonts w:ascii="Times New Roman" w:hAnsi="Times New Roman"/>
                <w:sz w:val="18"/>
                <w:szCs w:val="18"/>
              </w:rPr>
              <w:t>能被借鉴</w:t>
            </w:r>
            <w:r>
              <w:rPr>
                <w:rFonts w:hint="eastAsia" w:ascii="Times New Roman" w:hAnsi="Times New Roman"/>
                <w:sz w:val="18"/>
                <w:szCs w:val="18"/>
              </w:rPr>
              <w:t>，具有典范意义。</w:t>
            </w:r>
          </w:p>
        </w:tc>
      </w:tr>
    </w:tbl>
    <w:p w14:paraId="2EC51E73">
      <w:pPr>
        <w:pStyle w:val="14"/>
        <w:ind w:firstLine="0" w:firstLineChars="0"/>
      </w:pPr>
    </w:p>
    <w:p w14:paraId="77CC5C61">
      <w:pPr>
        <w:pStyle w:val="19"/>
        <w:numPr>
          <w:ilvl w:val="0"/>
          <w:numId w:val="0"/>
        </w:numPr>
        <w:spacing w:before="120" w:after="120"/>
      </w:pPr>
      <w:bookmarkStart w:id="59" w:name="_Toc228868564"/>
      <w:r>
        <w:rPr>
          <w:rFonts w:hint="eastAsia"/>
        </w:rPr>
        <w:t>6.3.2  品牌乡村（片区组团）</w:t>
      </w:r>
      <w:r>
        <w:t>评价指标体系说明</w:t>
      </w:r>
      <w:bookmarkEnd w:id="59"/>
    </w:p>
    <w:p w14:paraId="699D9CBE">
      <w:pPr>
        <w:pStyle w:val="25"/>
        <w:spacing w:before="120" w:after="120"/>
        <w:rPr>
          <w:rFonts w:ascii="宋体" w:eastAsia="宋体"/>
        </w:rPr>
      </w:pPr>
      <w:r>
        <w:rPr>
          <w:rFonts w:hint="eastAsia" w:ascii="宋体" w:eastAsia="宋体"/>
        </w:rPr>
        <w:t>品牌乡村（片区组团）评价指标体系说明</w:t>
      </w:r>
    </w:p>
    <w:tbl>
      <w:tblPr>
        <w:tblStyle w:val="7"/>
        <w:tblW w:w="93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709"/>
        <w:gridCol w:w="1417"/>
        <w:gridCol w:w="6521"/>
      </w:tblGrid>
      <w:tr w14:paraId="5F8B9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tcBorders>
              <w:top w:val="single" w:color="auto" w:sz="4" w:space="0"/>
              <w:left w:val="single" w:color="auto" w:sz="4" w:space="0"/>
              <w:bottom w:val="single" w:color="auto" w:sz="4" w:space="0"/>
              <w:right w:val="single" w:color="auto" w:sz="4" w:space="0"/>
            </w:tcBorders>
          </w:tcPr>
          <w:p w14:paraId="7B17D945">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r>
              <w:rPr>
                <w:rFonts w:ascii="Times New Roman" w:hAnsi="Times New Roman" w:cs="Times New Roman"/>
                <w:b/>
                <w:bCs/>
                <w:kern w:val="2"/>
                <w:sz w:val="21"/>
                <w:szCs w:val="21"/>
              </w:rPr>
              <w:t>一级指标</w:t>
            </w:r>
          </w:p>
        </w:tc>
        <w:tc>
          <w:tcPr>
            <w:tcW w:w="709" w:type="dxa"/>
            <w:tcBorders>
              <w:top w:val="single" w:color="auto" w:sz="4" w:space="0"/>
              <w:left w:val="single" w:color="auto" w:sz="4" w:space="0"/>
              <w:bottom w:val="single" w:color="auto" w:sz="4" w:space="0"/>
              <w:right w:val="single" w:color="auto" w:sz="4" w:space="0"/>
            </w:tcBorders>
          </w:tcPr>
          <w:p w14:paraId="5CF73735">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r>
              <w:rPr>
                <w:rFonts w:ascii="Times New Roman" w:hAnsi="Times New Roman" w:cs="Times New Roman"/>
                <w:b/>
                <w:bCs/>
                <w:kern w:val="2"/>
                <w:sz w:val="21"/>
                <w:szCs w:val="21"/>
              </w:rPr>
              <w:t>二级指标</w:t>
            </w:r>
          </w:p>
        </w:tc>
        <w:tc>
          <w:tcPr>
            <w:tcW w:w="1417" w:type="dxa"/>
            <w:tcBorders>
              <w:top w:val="single" w:color="auto" w:sz="4" w:space="0"/>
              <w:left w:val="single" w:color="auto" w:sz="4" w:space="0"/>
              <w:bottom w:val="single" w:color="auto" w:sz="4" w:space="0"/>
              <w:right w:val="single" w:color="auto" w:sz="4" w:space="0"/>
            </w:tcBorders>
          </w:tcPr>
          <w:p w14:paraId="130DD1EF">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r>
              <w:rPr>
                <w:rFonts w:ascii="Times New Roman" w:hAnsi="Times New Roman" w:cs="Times New Roman"/>
                <w:b/>
                <w:bCs/>
                <w:kern w:val="2"/>
                <w:sz w:val="21"/>
                <w:szCs w:val="21"/>
              </w:rPr>
              <w:t>三级</w:t>
            </w:r>
            <w:r>
              <w:rPr>
                <w:rFonts w:hint="eastAsia" w:ascii="Times New Roman" w:hAnsi="Times New Roman" w:cs="Times New Roman"/>
                <w:b/>
                <w:bCs/>
                <w:kern w:val="2"/>
                <w:sz w:val="21"/>
                <w:szCs w:val="21"/>
              </w:rPr>
              <w:t xml:space="preserve">      </w:t>
            </w:r>
            <w:r>
              <w:rPr>
                <w:rFonts w:ascii="Times New Roman" w:hAnsi="Times New Roman" w:cs="Times New Roman"/>
                <w:b/>
                <w:bCs/>
                <w:kern w:val="2"/>
                <w:sz w:val="21"/>
                <w:szCs w:val="21"/>
              </w:rPr>
              <w:t>指标</w:t>
            </w:r>
          </w:p>
        </w:tc>
        <w:tc>
          <w:tcPr>
            <w:tcW w:w="6521" w:type="dxa"/>
            <w:tcBorders>
              <w:top w:val="single" w:color="auto" w:sz="4" w:space="0"/>
              <w:left w:val="single" w:color="auto" w:sz="4" w:space="0"/>
              <w:bottom w:val="single" w:color="auto" w:sz="4" w:space="0"/>
              <w:right w:val="single" w:color="auto" w:sz="4" w:space="0"/>
            </w:tcBorders>
            <w:vAlign w:val="center"/>
          </w:tcPr>
          <w:p w14:paraId="143B83F6">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r>
              <w:rPr>
                <w:rFonts w:hint="eastAsia" w:ascii="Times New Roman" w:hAnsi="Times New Roman" w:cs="Times New Roman"/>
                <w:b/>
                <w:bCs/>
                <w:kern w:val="2"/>
                <w:sz w:val="21"/>
                <w:szCs w:val="21"/>
              </w:rPr>
              <w:t>指标说明</w:t>
            </w:r>
          </w:p>
        </w:tc>
      </w:tr>
      <w:tr w14:paraId="3B4F0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738" w:type="dxa"/>
            <w:vMerge w:val="restart"/>
            <w:tcBorders>
              <w:top w:val="single" w:color="auto" w:sz="4" w:space="0"/>
              <w:left w:val="single" w:color="auto" w:sz="4" w:space="0"/>
              <w:right w:val="single" w:color="auto" w:sz="4" w:space="0"/>
            </w:tcBorders>
            <w:vAlign w:val="center"/>
          </w:tcPr>
          <w:p w14:paraId="6E45B5EA">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r>
              <w:rPr>
                <w:rFonts w:ascii="Times New Roman" w:hAnsi="Times New Roman" w:cs="Times New Roman"/>
                <w:b/>
                <w:bCs/>
                <w:kern w:val="2"/>
                <w:sz w:val="21"/>
                <w:szCs w:val="21"/>
              </w:rPr>
              <w:t>品牌基础要素</w:t>
            </w:r>
          </w:p>
        </w:tc>
        <w:tc>
          <w:tcPr>
            <w:tcW w:w="709" w:type="dxa"/>
            <w:vMerge w:val="restart"/>
            <w:tcBorders>
              <w:top w:val="single" w:color="auto" w:sz="4" w:space="0"/>
              <w:left w:val="single" w:color="auto" w:sz="4" w:space="0"/>
              <w:right w:val="single" w:color="auto" w:sz="4" w:space="0"/>
            </w:tcBorders>
            <w:vAlign w:val="center"/>
          </w:tcPr>
          <w:p w14:paraId="0360CD0B">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18"/>
                <w:szCs w:val="18"/>
              </w:rPr>
            </w:pPr>
            <w:r>
              <w:rPr>
                <w:rFonts w:hint="eastAsia" w:ascii="Times New Roman" w:hAnsi="Times New Roman" w:cs="Times New Roman"/>
                <w:b/>
                <w:bCs/>
                <w:kern w:val="2"/>
                <w:sz w:val="18"/>
                <w:szCs w:val="18"/>
              </w:rPr>
              <w:t>组织共建</w:t>
            </w:r>
          </w:p>
        </w:tc>
        <w:tc>
          <w:tcPr>
            <w:tcW w:w="1417" w:type="dxa"/>
            <w:tcBorders>
              <w:top w:val="single" w:color="auto" w:sz="4" w:space="0"/>
              <w:left w:val="single" w:color="auto" w:sz="4" w:space="0"/>
              <w:bottom w:val="single" w:color="auto" w:sz="4" w:space="0"/>
              <w:right w:val="single" w:color="auto" w:sz="4" w:space="0"/>
            </w:tcBorders>
            <w:vAlign w:val="center"/>
          </w:tcPr>
          <w:p w14:paraId="33A6DC37">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完善组织架构</w:t>
            </w:r>
          </w:p>
        </w:tc>
        <w:tc>
          <w:tcPr>
            <w:tcW w:w="6521" w:type="dxa"/>
            <w:tcBorders>
              <w:top w:val="single" w:color="auto" w:sz="4" w:space="0"/>
              <w:left w:val="single" w:color="auto" w:sz="4" w:space="0"/>
              <w:right w:val="single" w:color="auto" w:sz="4" w:space="0"/>
            </w:tcBorders>
            <w:vAlign w:val="center"/>
          </w:tcPr>
          <w:p w14:paraId="235AECD2">
            <w:pPr>
              <w:pStyle w:val="6"/>
              <w:tabs>
                <w:tab w:val="center" w:pos="4201"/>
                <w:tab w:val="right" w:leader="dot" w:pos="9298"/>
              </w:tabs>
              <w:autoSpaceDE w:val="0"/>
              <w:autoSpaceDN w:val="0"/>
              <w:adjustRightInd w:val="0"/>
              <w:snapToGrid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是否成立片区联合议事机构；其组织架构完善程度；是否成立强团公司。</w:t>
            </w:r>
          </w:p>
        </w:tc>
      </w:tr>
      <w:tr w14:paraId="048A4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jc w:val="center"/>
        </w:trPr>
        <w:tc>
          <w:tcPr>
            <w:tcW w:w="738" w:type="dxa"/>
            <w:vMerge w:val="continue"/>
            <w:tcBorders>
              <w:left w:val="single" w:color="auto" w:sz="4" w:space="0"/>
              <w:right w:val="single" w:color="auto" w:sz="4" w:space="0"/>
            </w:tcBorders>
            <w:vAlign w:val="center"/>
          </w:tcPr>
          <w:p w14:paraId="61153C71">
            <w:pPr>
              <w:spacing w:line="240" w:lineRule="auto"/>
              <w:jc w:val="center"/>
              <w:rPr>
                <w:rFonts w:ascii="Times New Roman" w:hAnsi="Times New Roman"/>
                <w:sz w:val="18"/>
                <w:szCs w:val="18"/>
              </w:rPr>
            </w:pPr>
          </w:p>
        </w:tc>
        <w:tc>
          <w:tcPr>
            <w:tcW w:w="709" w:type="dxa"/>
            <w:vMerge w:val="continue"/>
            <w:tcBorders>
              <w:left w:val="single" w:color="auto" w:sz="4" w:space="0"/>
              <w:right w:val="single" w:color="auto" w:sz="4" w:space="0"/>
            </w:tcBorders>
            <w:vAlign w:val="center"/>
          </w:tcPr>
          <w:p w14:paraId="06BC9EEF">
            <w:pPr>
              <w:spacing w:line="240" w:lineRule="auto"/>
              <w:jc w:val="center"/>
              <w:rPr>
                <w:rFonts w:ascii="Times New Roman" w:hAnsi="Times New Roman"/>
                <w:b/>
                <w:bCs/>
                <w:sz w:val="18"/>
                <w:szCs w:val="18"/>
              </w:rPr>
            </w:pPr>
          </w:p>
        </w:tc>
        <w:tc>
          <w:tcPr>
            <w:tcW w:w="1417" w:type="dxa"/>
            <w:tcBorders>
              <w:top w:val="single" w:color="auto" w:sz="4" w:space="0"/>
              <w:left w:val="single" w:color="auto" w:sz="4" w:space="0"/>
              <w:bottom w:val="single" w:color="auto" w:sz="4" w:space="0"/>
              <w:right w:val="single" w:color="auto" w:sz="4" w:space="0"/>
            </w:tcBorders>
            <w:vAlign w:val="center"/>
          </w:tcPr>
          <w:p w14:paraId="0D29EF2C">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优化成员构成</w:t>
            </w:r>
          </w:p>
        </w:tc>
        <w:tc>
          <w:tcPr>
            <w:tcW w:w="6521" w:type="dxa"/>
            <w:tcBorders>
              <w:left w:val="single" w:color="auto" w:sz="4" w:space="0"/>
              <w:bottom w:val="single" w:color="auto" w:sz="4" w:space="0"/>
              <w:right w:val="single" w:color="auto" w:sz="4" w:space="0"/>
            </w:tcBorders>
            <w:vAlign w:val="center"/>
          </w:tcPr>
          <w:p w14:paraId="1CC9353E">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片区联合议事机构和强团公司的成员构成情况；职能分工情况；与上级组织的对接情况。</w:t>
            </w:r>
          </w:p>
        </w:tc>
      </w:tr>
      <w:tr w14:paraId="1B124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atLeast"/>
          <w:jc w:val="center"/>
        </w:trPr>
        <w:tc>
          <w:tcPr>
            <w:tcW w:w="738" w:type="dxa"/>
            <w:vMerge w:val="continue"/>
            <w:tcBorders>
              <w:left w:val="single" w:color="auto" w:sz="4" w:space="0"/>
              <w:right w:val="single" w:color="auto" w:sz="4" w:space="0"/>
            </w:tcBorders>
            <w:vAlign w:val="center"/>
          </w:tcPr>
          <w:p w14:paraId="47D5ADB2">
            <w:pPr>
              <w:spacing w:line="240" w:lineRule="auto"/>
              <w:jc w:val="center"/>
              <w:rPr>
                <w:rFonts w:ascii="Times New Roman" w:hAnsi="Times New Roman"/>
                <w:sz w:val="18"/>
                <w:szCs w:val="18"/>
              </w:rPr>
            </w:pPr>
          </w:p>
        </w:tc>
        <w:tc>
          <w:tcPr>
            <w:tcW w:w="709" w:type="dxa"/>
            <w:vMerge w:val="continue"/>
            <w:tcBorders>
              <w:left w:val="single" w:color="auto" w:sz="4" w:space="0"/>
              <w:right w:val="single" w:color="auto" w:sz="4" w:space="0"/>
            </w:tcBorders>
            <w:vAlign w:val="center"/>
          </w:tcPr>
          <w:p w14:paraId="6B7560ED">
            <w:pPr>
              <w:spacing w:line="240" w:lineRule="auto"/>
              <w:jc w:val="center"/>
              <w:rPr>
                <w:rFonts w:ascii="Times New Roman" w:hAnsi="Times New Roman"/>
                <w:b/>
                <w:bCs/>
                <w:sz w:val="18"/>
                <w:szCs w:val="18"/>
              </w:rPr>
            </w:pPr>
          </w:p>
        </w:tc>
        <w:tc>
          <w:tcPr>
            <w:tcW w:w="1417" w:type="dxa"/>
            <w:tcBorders>
              <w:top w:val="single" w:color="auto" w:sz="4" w:space="0"/>
              <w:left w:val="single" w:color="auto" w:sz="4" w:space="0"/>
              <w:bottom w:val="single" w:color="auto" w:sz="4" w:space="0"/>
              <w:right w:val="single" w:color="auto" w:sz="4" w:space="0"/>
            </w:tcBorders>
            <w:vAlign w:val="center"/>
          </w:tcPr>
          <w:p w14:paraId="11144715">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制定制度章程</w:t>
            </w:r>
          </w:p>
        </w:tc>
        <w:tc>
          <w:tcPr>
            <w:tcW w:w="6521" w:type="dxa"/>
            <w:tcBorders>
              <w:top w:val="single" w:color="auto" w:sz="4" w:space="0"/>
              <w:left w:val="single" w:color="auto" w:sz="4" w:space="0"/>
              <w:bottom w:val="single" w:color="auto" w:sz="4" w:space="0"/>
              <w:right w:val="single" w:color="auto" w:sz="4" w:space="0"/>
            </w:tcBorders>
            <w:vAlign w:val="center"/>
          </w:tcPr>
          <w:p w14:paraId="51F7A228">
            <w:pPr>
              <w:widowControl/>
              <w:tabs>
                <w:tab w:val="center" w:pos="4201"/>
                <w:tab w:val="right" w:leader="dot" w:pos="9298"/>
              </w:tabs>
              <w:autoSpaceDE w:val="0"/>
              <w:autoSpaceDN w:val="0"/>
              <w:spacing w:line="240" w:lineRule="auto"/>
              <w:rPr>
                <w:rFonts w:ascii="Times New Roman" w:hAnsi="Times New Roman"/>
                <w:sz w:val="18"/>
                <w:szCs w:val="18"/>
              </w:rPr>
            </w:pPr>
            <w:r>
              <w:rPr>
                <w:rFonts w:hint="eastAsia" w:ascii="Times New Roman" w:hAnsi="Times New Roman"/>
                <w:sz w:val="18"/>
                <w:szCs w:val="18"/>
              </w:rPr>
              <w:t>联合议事机构的管理办法、章程及日常议事的台账；强团公司的管理办法、章程及日常运营管理的台账。</w:t>
            </w:r>
          </w:p>
        </w:tc>
      </w:tr>
      <w:tr w14:paraId="4D2D7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jc w:val="center"/>
        </w:trPr>
        <w:tc>
          <w:tcPr>
            <w:tcW w:w="738" w:type="dxa"/>
            <w:vMerge w:val="continue"/>
            <w:tcBorders>
              <w:left w:val="single" w:color="auto" w:sz="4" w:space="0"/>
              <w:right w:val="single" w:color="auto" w:sz="4" w:space="0"/>
            </w:tcBorders>
            <w:vAlign w:val="center"/>
          </w:tcPr>
          <w:p w14:paraId="2719EA6F">
            <w:pPr>
              <w:spacing w:line="240" w:lineRule="auto"/>
              <w:jc w:val="center"/>
              <w:rPr>
                <w:rFonts w:ascii="Times New Roman" w:hAnsi="Times New Roman"/>
                <w:sz w:val="18"/>
                <w:szCs w:val="18"/>
              </w:rPr>
            </w:pPr>
          </w:p>
        </w:tc>
        <w:tc>
          <w:tcPr>
            <w:tcW w:w="709" w:type="dxa"/>
            <w:vMerge w:val="restart"/>
            <w:tcBorders>
              <w:top w:val="single" w:color="auto" w:sz="4" w:space="0"/>
              <w:left w:val="single" w:color="auto" w:sz="4" w:space="0"/>
              <w:right w:val="single" w:color="auto" w:sz="4" w:space="0"/>
            </w:tcBorders>
            <w:vAlign w:val="center"/>
          </w:tcPr>
          <w:p w14:paraId="28437ADE">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18"/>
                <w:szCs w:val="18"/>
              </w:rPr>
            </w:pPr>
            <w:r>
              <w:rPr>
                <w:rFonts w:hint="eastAsia" w:ascii="Times New Roman" w:hAnsi="Times New Roman" w:cs="Times New Roman"/>
                <w:b/>
                <w:bCs/>
                <w:kern w:val="2"/>
                <w:sz w:val="18"/>
                <w:szCs w:val="18"/>
              </w:rPr>
              <w:t>生态共护</w:t>
            </w:r>
          </w:p>
        </w:tc>
        <w:tc>
          <w:tcPr>
            <w:tcW w:w="1417" w:type="dxa"/>
            <w:tcBorders>
              <w:top w:val="single" w:color="auto" w:sz="4" w:space="0"/>
              <w:left w:val="single" w:color="auto" w:sz="4" w:space="0"/>
              <w:bottom w:val="single" w:color="auto" w:sz="4" w:space="0"/>
              <w:right w:val="single" w:color="auto" w:sz="4" w:space="0"/>
            </w:tcBorders>
            <w:vAlign w:val="center"/>
          </w:tcPr>
          <w:p w14:paraId="3FCD689F">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严守生态政策</w:t>
            </w:r>
          </w:p>
        </w:tc>
        <w:tc>
          <w:tcPr>
            <w:tcW w:w="6521" w:type="dxa"/>
            <w:tcBorders>
              <w:top w:val="single" w:color="auto" w:sz="4" w:space="0"/>
              <w:left w:val="single" w:color="auto" w:sz="4" w:space="0"/>
              <w:right w:val="single" w:color="auto" w:sz="4" w:space="0"/>
            </w:tcBorders>
            <w:vAlign w:val="center"/>
          </w:tcPr>
          <w:p w14:paraId="46336AA9">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严格遵守国家、省市出台的生态环保政策和规章要求，无违法违规行为。</w:t>
            </w:r>
          </w:p>
        </w:tc>
      </w:tr>
      <w:tr w14:paraId="06979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738" w:type="dxa"/>
            <w:vMerge w:val="continue"/>
            <w:tcBorders>
              <w:left w:val="single" w:color="auto" w:sz="4" w:space="0"/>
              <w:right w:val="single" w:color="auto" w:sz="4" w:space="0"/>
            </w:tcBorders>
            <w:vAlign w:val="center"/>
          </w:tcPr>
          <w:p w14:paraId="63B6C43C">
            <w:pPr>
              <w:spacing w:line="240" w:lineRule="auto"/>
              <w:jc w:val="center"/>
              <w:rPr>
                <w:rFonts w:ascii="Times New Roman" w:hAnsi="Times New Roman"/>
                <w:sz w:val="18"/>
                <w:szCs w:val="18"/>
              </w:rPr>
            </w:pPr>
          </w:p>
        </w:tc>
        <w:tc>
          <w:tcPr>
            <w:tcW w:w="709" w:type="dxa"/>
            <w:vMerge w:val="continue"/>
            <w:tcBorders>
              <w:left w:val="single" w:color="auto" w:sz="4" w:space="0"/>
              <w:right w:val="single" w:color="auto" w:sz="4" w:space="0"/>
            </w:tcBorders>
            <w:vAlign w:val="center"/>
          </w:tcPr>
          <w:p w14:paraId="75930DBB">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18"/>
                <w:szCs w:val="18"/>
              </w:rPr>
            </w:pPr>
          </w:p>
        </w:tc>
        <w:tc>
          <w:tcPr>
            <w:tcW w:w="1417" w:type="dxa"/>
            <w:tcBorders>
              <w:top w:val="single" w:color="auto" w:sz="4" w:space="0"/>
              <w:left w:val="single" w:color="auto" w:sz="4" w:space="0"/>
              <w:bottom w:val="single" w:color="auto" w:sz="4" w:space="0"/>
              <w:right w:val="single" w:color="auto" w:sz="4" w:space="0"/>
            </w:tcBorders>
            <w:vAlign w:val="center"/>
          </w:tcPr>
          <w:p w14:paraId="2582BA44">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整治生态环境</w:t>
            </w:r>
          </w:p>
        </w:tc>
        <w:tc>
          <w:tcPr>
            <w:tcW w:w="6521" w:type="dxa"/>
            <w:tcBorders>
              <w:top w:val="single" w:color="auto" w:sz="4" w:space="0"/>
              <w:left w:val="single" w:color="auto" w:sz="4" w:space="0"/>
              <w:right w:val="single" w:color="auto" w:sz="4" w:space="0"/>
            </w:tcBorders>
            <w:vAlign w:val="center"/>
          </w:tcPr>
          <w:p w14:paraId="23309BCC">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保护、修复片区内生态环境；整治片区内人居环境；尊重村容村貌和谐度与个性化。</w:t>
            </w:r>
          </w:p>
        </w:tc>
      </w:tr>
      <w:tr w14:paraId="7749D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4" w:hRule="atLeast"/>
          <w:jc w:val="center"/>
        </w:trPr>
        <w:tc>
          <w:tcPr>
            <w:tcW w:w="738" w:type="dxa"/>
            <w:vMerge w:val="continue"/>
            <w:tcBorders>
              <w:left w:val="single" w:color="auto" w:sz="4" w:space="0"/>
              <w:right w:val="single" w:color="auto" w:sz="4" w:space="0"/>
            </w:tcBorders>
            <w:vAlign w:val="center"/>
          </w:tcPr>
          <w:p w14:paraId="01CE58A1">
            <w:pPr>
              <w:spacing w:line="240" w:lineRule="auto"/>
              <w:jc w:val="center"/>
              <w:rPr>
                <w:rFonts w:ascii="Times New Roman" w:hAnsi="Times New Roman"/>
                <w:sz w:val="18"/>
                <w:szCs w:val="18"/>
              </w:rPr>
            </w:pPr>
          </w:p>
        </w:tc>
        <w:tc>
          <w:tcPr>
            <w:tcW w:w="709" w:type="dxa"/>
            <w:vMerge w:val="continue"/>
            <w:tcBorders>
              <w:left w:val="single" w:color="auto" w:sz="4" w:space="0"/>
              <w:right w:val="single" w:color="auto" w:sz="4" w:space="0"/>
            </w:tcBorders>
            <w:vAlign w:val="center"/>
          </w:tcPr>
          <w:p w14:paraId="642AC046">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18"/>
                <w:szCs w:val="18"/>
              </w:rPr>
            </w:pPr>
          </w:p>
        </w:tc>
        <w:tc>
          <w:tcPr>
            <w:tcW w:w="1417" w:type="dxa"/>
            <w:tcBorders>
              <w:top w:val="single" w:color="auto" w:sz="4" w:space="0"/>
              <w:left w:val="single" w:color="auto" w:sz="4" w:space="0"/>
              <w:bottom w:val="single" w:color="auto" w:sz="4" w:space="0"/>
              <w:right w:val="single" w:color="auto" w:sz="4" w:space="0"/>
            </w:tcBorders>
            <w:vAlign w:val="center"/>
          </w:tcPr>
          <w:p w14:paraId="571F2894">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入驻生态组织</w:t>
            </w:r>
          </w:p>
        </w:tc>
        <w:tc>
          <w:tcPr>
            <w:tcW w:w="6521" w:type="dxa"/>
            <w:tcBorders>
              <w:top w:val="single" w:color="auto" w:sz="4" w:space="0"/>
              <w:left w:val="single" w:color="auto" w:sz="4" w:space="0"/>
              <w:right w:val="single" w:color="auto" w:sz="4" w:space="0"/>
            </w:tcBorders>
            <w:vAlign w:val="center"/>
          </w:tcPr>
          <w:p w14:paraId="61649CDE">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是否有生态或动植物保护相关的非政府组织（</w:t>
            </w:r>
            <w:r>
              <w:rPr>
                <w:rFonts w:ascii="Times New Roman" w:hAnsi="Times New Roman" w:cs="Times New Roman"/>
                <w:kern w:val="2"/>
                <w:sz w:val="18"/>
                <w:szCs w:val="18"/>
              </w:rPr>
              <w:t>NGO</w:t>
            </w:r>
            <w:r>
              <w:rPr>
                <w:rFonts w:hint="eastAsia" w:ascii="Times New Roman" w:hAnsi="Times New Roman" w:cs="Times New Roman"/>
                <w:kern w:val="2"/>
                <w:sz w:val="18"/>
                <w:szCs w:val="18"/>
              </w:rPr>
              <w:t>）入驻。</w:t>
            </w:r>
          </w:p>
        </w:tc>
      </w:tr>
      <w:tr w14:paraId="55364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4" w:hRule="atLeast"/>
          <w:jc w:val="center"/>
        </w:trPr>
        <w:tc>
          <w:tcPr>
            <w:tcW w:w="738" w:type="dxa"/>
            <w:vMerge w:val="continue"/>
            <w:tcBorders>
              <w:left w:val="single" w:color="auto" w:sz="4" w:space="0"/>
              <w:right w:val="single" w:color="auto" w:sz="4" w:space="0"/>
            </w:tcBorders>
            <w:vAlign w:val="center"/>
          </w:tcPr>
          <w:p w14:paraId="65FBDDCF">
            <w:pPr>
              <w:spacing w:line="240" w:lineRule="auto"/>
              <w:jc w:val="center"/>
              <w:rPr>
                <w:rFonts w:ascii="Times New Roman" w:hAnsi="Times New Roman"/>
                <w:sz w:val="18"/>
                <w:szCs w:val="18"/>
              </w:rPr>
            </w:pPr>
          </w:p>
        </w:tc>
        <w:tc>
          <w:tcPr>
            <w:tcW w:w="709" w:type="dxa"/>
            <w:vMerge w:val="continue"/>
            <w:tcBorders>
              <w:left w:val="single" w:color="auto" w:sz="4" w:space="0"/>
              <w:right w:val="single" w:color="auto" w:sz="4" w:space="0"/>
            </w:tcBorders>
            <w:vAlign w:val="center"/>
          </w:tcPr>
          <w:p w14:paraId="0A79439E">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18"/>
                <w:szCs w:val="18"/>
              </w:rPr>
            </w:pPr>
          </w:p>
        </w:tc>
        <w:tc>
          <w:tcPr>
            <w:tcW w:w="1417" w:type="dxa"/>
            <w:tcBorders>
              <w:top w:val="single" w:color="auto" w:sz="4" w:space="0"/>
              <w:left w:val="single" w:color="auto" w:sz="4" w:space="0"/>
              <w:bottom w:val="single" w:color="auto" w:sz="4" w:space="0"/>
              <w:right w:val="single" w:color="auto" w:sz="4" w:space="0"/>
            </w:tcBorders>
            <w:vAlign w:val="center"/>
          </w:tcPr>
          <w:p w14:paraId="6923A9B6">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培育生态产业</w:t>
            </w:r>
          </w:p>
        </w:tc>
        <w:tc>
          <w:tcPr>
            <w:tcW w:w="6521" w:type="dxa"/>
            <w:tcBorders>
              <w:top w:val="single" w:color="auto" w:sz="4" w:space="0"/>
              <w:left w:val="single" w:color="auto" w:sz="4" w:space="0"/>
              <w:right w:val="single" w:color="auto" w:sz="4" w:space="0"/>
            </w:tcBorders>
            <w:vAlign w:val="center"/>
          </w:tcPr>
          <w:p w14:paraId="1832967E">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片区内产业发展遵循绿色、生态、低碳、循环发展要求；在生态红线约束条件下，创新生态资源转化路径。</w:t>
            </w:r>
          </w:p>
        </w:tc>
      </w:tr>
      <w:tr w14:paraId="3A80E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jc w:val="center"/>
        </w:trPr>
        <w:tc>
          <w:tcPr>
            <w:tcW w:w="738" w:type="dxa"/>
            <w:vMerge w:val="continue"/>
            <w:tcBorders>
              <w:left w:val="single" w:color="auto" w:sz="4" w:space="0"/>
              <w:right w:val="single" w:color="auto" w:sz="4" w:space="0"/>
            </w:tcBorders>
            <w:vAlign w:val="center"/>
          </w:tcPr>
          <w:p w14:paraId="1EC41FEE">
            <w:pPr>
              <w:spacing w:line="240" w:lineRule="auto"/>
              <w:jc w:val="center"/>
              <w:rPr>
                <w:rFonts w:ascii="Times New Roman" w:hAnsi="Times New Roman"/>
                <w:sz w:val="18"/>
                <w:szCs w:val="18"/>
              </w:rPr>
            </w:pPr>
          </w:p>
        </w:tc>
        <w:tc>
          <w:tcPr>
            <w:tcW w:w="709" w:type="dxa"/>
            <w:vMerge w:val="restart"/>
            <w:tcBorders>
              <w:left w:val="single" w:color="auto" w:sz="4" w:space="0"/>
              <w:right w:val="single" w:color="auto" w:sz="4" w:space="0"/>
            </w:tcBorders>
            <w:vAlign w:val="center"/>
          </w:tcPr>
          <w:p w14:paraId="6509B850">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18"/>
                <w:szCs w:val="18"/>
              </w:rPr>
            </w:pPr>
            <w:r>
              <w:rPr>
                <w:rFonts w:hint="eastAsia" w:ascii="Times New Roman" w:hAnsi="Times New Roman" w:cs="Times New Roman"/>
                <w:b/>
                <w:bCs/>
                <w:kern w:val="2"/>
                <w:sz w:val="18"/>
                <w:szCs w:val="18"/>
              </w:rPr>
              <w:t>规划共绘</w:t>
            </w:r>
          </w:p>
        </w:tc>
        <w:tc>
          <w:tcPr>
            <w:tcW w:w="1417" w:type="dxa"/>
            <w:tcBorders>
              <w:top w:val="single" w:color="auto" w:sz="4" w:space="0"/>
              <w:left w:val="single" w:color="auto" w:sz="4" w:space="0"/>
              <w:bottom w:val="single" w:color="auto" w:sz="4" w:space="0"/>
              <w:right w:val="single" w:color="auto" w:sz="4" w:space="0"/>
            </w:tcBorders>
            <w:vAlign w:val="center"/>
          </w:tcPr>
          <w:p w14:paraId="40F0C083">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编制片区规划</w:t>
            </w:r>
          </w:p>
        </w:tc>
        <w:tc>
          <w:tcPr>
            <w:tcW w:w="6521" w:type="dxa"/>
            <w:tcBorders>
              <w:left w:val="single" w:color="auto" w:sz="4" w:space="0"/>
              <w:bottom w:val="single" w:color="auto" w:sz="4" w:space="0"/>
              <w:right w:val="single" w:color="auto" w:sz="4" w:space="0"/>
            </w:tcBorders>
            <w:vAlign w:val="center"/>
          </w:tcPr>
          <w:p w14:paraId="6F162732">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对片区发展有科学系统的整体规划，符合域内自然和人文资源禀赋；各村之间具有优势互补或集群效应。</w:t>
            </w:r>
          </w:p>
        </w:tc>
      </w:tr>
      <w:tr w14:paraId="76C24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2" w:hRule="atLeast"/>
          <w:jc w:val="center"/>
        </w:trPr>
        <w:tc>
          <w:tcPr>
            <w:tcW w:w="738" w:type="dxa"/>
            <w:vMerge w:val="continue"/>
            <w:tcBorders>
              <w:left w:val="single" w:color="auto" w:sz="4" w:space="0"/>
              <w:right w:val="single" w:color="auto" w:sz="4" w:space="0"/>
            </w:tcBorders>
            <w:vAlign w:val="center"/>
          </w:tcPr>
          <w:p w14:paraId="7F7F3119">
            <w:pPr>
              <w:spacing w:line="240" w:lineRule="auto"/>
              <w:jc w:val="center"/>
              <w:rPr>
                <w:rFonts w:ascii="Times New Roman" w:hAnsi="Times New Roman"/>
                <w:sz w:val="18"/>
                <w:szCs w:val="18"/>
              </w:rPr>
            </w:pPr>
          </w:p>
        </w:tc>
        <w:tc>
          <w:tcPr>
            <w:tcW w:w="709" w:type="dxa"/>
            <w:vMerge w:val="continue"/>
            <w:tcBorders>
              <w:left w:val="single" w:color="auto" w:sz="4" w:space="0"/>
              <w:right w:val="single" w:color="auto" w:sz="4" w:space="0"/>
            </w:tcBorders>
            <w:vAlign w:val="center"/>
          </w:tcPr>
          <w:p w14:paraId="4D8B8C49">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18"/>
                <w:szCs w:val="18"/>
              </w:rPr>
            </w:pPr>
          </w:p>
        </w:tc>
        <w:tc>
          <w:tcPr>
            <w:tcW w:w="1417" w:type="dxa"/>
            <w:tcBorders>
              <w:top w:val="single" w:color="auto" w:sz="4" w:space="0"/>
              <w:left w:val="single" w:color="auto" w:sz="4" w:space="0"/>
              <w:right w:val="single" w:color="auto" w:sz="4" w:space="0"/>
            </w:tcBorders>
            <w:vAlign w:val="center"/>
          </w:tcPr>
          <w:p w14:paraId="7D919E43">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实施片区规划</w:t>
            </w:r>
          </w:p>
        </w:tc>
        <w:tc>
          <w:tcPr>
            <w:tcW w:w="6521" w:type="dxa"/>
            <w:tcBorders>
              <w:top w:val="single" w:color="auto" w:sz="4" w:space="0"/>
              <w:left w:val="single" w:color="auto" w:sz="4" w:space="0"/>
              <w:right w:val="single" w:color="auto" w:sz="4" w:space="0"/>
            </w:tcBorders>
            <w:vAlign w:val="center"/>
          </w:tcPr>
          <w:p w14:paraId="5671770F">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规划项目有特色、有市场、有保障、有落地、有效果；根据条件变化，及时修订规划。</w:t>
            </w:r>
          </w:p>
        </w:tc>
      </w:tr>
      <w:tr w14:paraId="29FA2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738" w:type="dxa"/>
            <w:vMerge w:val="restart"/>
            <w:tcBorders>
              <w:left w:val="single" w:color="auto" w:sz="4" w:space="0"/>
              <w:right w:val="single" w:color="auto" w:sz="4" w:space="0"/>
            </w:tcBorders>
            <w:vAlign w:val="center"/>
          </w:tcPr>
          <w:p w14:paraId="6F0C558F">
            <w:pPr>
              <w:pStyle w:val="6"/>
              <w:tabs>
                <w:tab w:val="center" w:pos="4201"/>
                <w:tab w:val="right" w:leader="dot" w:pos="9298"/>
              </w:tabs>
              <w:autoSpaceDE w:val="0"/>
              <w:autoSpaceDN w:val="0"/>
              <w:spacing w:before="0" w:after="0"/>
              <w:rPr>
                <w:rFonts w:ascii="Times New Roman" w:hAnsi="Times New Roman"/>
                <w:sz w:val="18"/>
                <w:szCs w:val="18"/>
              </w:rPr>
            </w:pPr>
            <w:r>
              <w:rPr>
                <w:rFonts w:ascii="Times New Roman" w:hAnsi="Times New Roman" w:cs="Times New Roman"/>
                <w:b/>
                <w:bCs/>
                <w:kern w:val="2"/>
                <w:sz w:val="21"/>
                <w:szCs w:val="21"/>
              </w:rPr>
              <w:t>品牌强度要素</w:t>
            </w:r>
          </w:p>
        </w:tc>
        <w:tc>
          <w:tcPr>
            <w:tcW w:w="709" w:type="dxa"/>
            <w:vMerge w:val="restart"/>
            <w:tcBorders>
              <w:left w:val="single" w:color="auto" w:sz="4" w:space="0"/>
              <w:right w:val="single" w:color="auto" w:sz="4" w:space="0"/>
            </w:tcBorders>
            <w:vAlign w:val="center"/>
          </w:tcPr>
          <w:p w14:paraId="473B4FC0">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18"/>
                <w:szCs w:val="18"/>
              </w:rPr>
            </w:pPr>
            <w:r>
              <w:rPr>
                <w:rFonts w:hint="eastAsia" w:ascii="Times New Roman" w:hAnsi="Times New Roman" w:cs="Times New Roman"/>
                <w:b/>
                <w:bCs/>
                <w:kern w:val="2"/>
                <w:sz w:val="18"/>
                <w:szCs w:val="18"/>
              </w:rPr>
              <w:t>数智共联</w:t>
            </w:r>
          </w:p>
        </w:tc>
        <w:tc>
          <w:tcPr>
            <w:tcW w:w="1417" w:type="dxa"/>
            <w:tcBorders>
              <w:top w:val="single" w:color="auto" w:sz="4" w:space="0"/>
              <w:left w:val="single" w:color="auto" w:sz="4" w:space="0"/>
              <w:right w:val="single" w:color="auto" w:sz="4" w:space="0"/>
            </w:tcBorders>
            <w:vAlign w:val="center"/>
          </w:tcPr>
          <w:p w14:paraId="496F5BE1">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资源数字转化</w:t>
            </w:r>
          </w:p>
        </w:tc>
        <w:tc>
          <w:tcPr>
            <w:tcW w:w="6521" w:type="dxa"/>
            <w:tcBorders>
              <w:top w:val="single" w:color="auto" w:sz="4" w:space="0"/>
              <w:left w:val="single" w:color="auto" w:sz="4" w:space="0"/>
              <w:right w:val="single" w:color="auto" w:sz="4" w:space="0"/>
            </w:tcBorders>
            <w:vAlign w:val="center"/>
          </w:tcPr>
          <w:p w14:paraId="5024AC7E">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片区内自然、产业、空间、资产、项目等资源实现数字化采集、建档、互通与可视化管理。</w:t>
            </w:r>
          </w:p>
        </w:tc>
      </w:tr>
      <w:tr w14:paraId="5E5B2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738" w:type="dxa"/>
            <w:vMerge w:val="continue"/>
            <w:tcBorders>
              <w:left w:val="single" w:color="auto" w:sz="4" w:space="0"/>
              <w:right w:val="single" w:color="auto" w:sz="4" w:space="0"/>
            </w:tcBorders>
            <w:vAlign w:val="center"/>
          </w:tcPr>
          <w:p w14:paraId="7469AB5F">
            <w:pPr>
              <w:pStyle w:val="6"/>
              <w:tabs>
                <w:tab w:val="center" w:pos="4201"/>
                <w:tab w:val="right" w:leader="dot" w:pos="9298"/>
              </w:tabs>
              <w:autoSpaceDE w:val="0"/>
              <w:autoSpaceDN w:val="0"/>
              <w:spacing w:before="0" w:after="0"/>
              <w:rPr>
                <w:rFonts w:ascii="Times New Roman" w:hAnsi="Times New Roman"/>
                <w:sz w:val="18"/>
                <w:szCs w:val="18"/>
              </w:rPr>
            </w:pPr>
          </w:p>
        </w:tc>
        <w:tc>
          <w:tcPr>
            <w:tcW w:w="709" w:type="dxa"/>
            <w:vMerge w:val="continue"/>
            <w:tcBorders>
              <w:left w:val="single" w:color="auto" w:sz="4" w:space="0"/>
              <w:right w:val="single" w:color="auto" w:sz="4" w:space="0"/>
            </w:tcBorders>
            <w:vAlign w:val="center"/>
          </w:tcPr>
          <w:p w14:paraId="14E05A38">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18"/>
                <w:szCs w:val="18"/>
              </w:rPr>
            </w:pPr>
          </w:p>
        </w:tc>
        <w:tc>
          <w:tcPr>
            <w:tcW w:w="1417" w:type="dxa"/>
            <w:tcBorders>
              <w:top w:val="single" w:color="auto" w:sz="4" w:space="0"/>
              <w:left w:val="single" w:color="auto" w:sz="4" w:space="0"/>
              <w:right w:val="single" w:color="auto" w:sz="4" w:space="0"/>
            </w:tcBorders>
            <w:vAlign w:val="center"/>
          </w:tcPr>
          <w:p w14:paraId="7DF1CFCF">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数智治理应用</w:t>
            </w:r>
          </w:p>
        </w:tc>
        <w:tc>
          <w:tcPr>
            <w:tcW w:w="6521" w:type="dxa"/>
            <w:tcBorders>
              <w:top w:val="single" w:color="auto" w:sz="4" w:space="0"/>
              <w:left w:val="single" w:color="auto" w:sz="4" w:space="0"/>
              <w:right w:val="single" w:color="auto" w:sz="4" w:space="0"/>
            </w:tcBorders>
            <w:vAlign w:val="center"/>
          </w:tcPr>
          <w:p w14:paraId="40BE449D">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片区内环境卫生、治安防控、村务公开、人口管理、社区养老等治理工作实现数智化。</w:t>
            </w:r>
          </w:p>
        </w:tc>
      </w:tr>
      <w:tr w14:paraId="7FDE0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738" w:type="dxa"/>
            <w:vMerge w:val="continue"/>
            <w:tcBorders>
              <w:left w:val="single" w:color="auto" w:sz="4" w:space="0"/>
              <w:right w:val="single" w:color="auto" w:sz="4" w:space="0"/>
            </w:tcBorders>
            <w:vAlign w:val="center"/>
          </w:tcPr>
          <w:p w14:paraId="357C110A">
            <w:pPr>
              <w:pStyle w:val="6"/>
              <w:tabs>
                <w:tab w:val="center" w:pos="4201"/>
                <w:tab w:val="right" w:leader="dot" w:pos="9298"/>
              </w:tabs>
              <w:autoSpaceDE w:val="0"/>
              <w:autoSpaceDN w:val="0"/>
              <w:spacing w:before="0" w:after="0"/>
              <w:rPr>
                <w:rFonts w:ascii="Times New Roman" w:hAnsi="Times New Roman"/>
                <w:sz w:val="18"/>
                <w:szCs w:val="18"/>
              </w:rPr>
            </w:pPr>
          </w:p>
        </w:tc>
        <w:tc>
          <w:tcPr>
            <w:tcW w:w="709" w:type="dxa"/>
            <w:vMerge w:val="continue"/>
            <w:tcBorders>
              <w:left w:val="single" w:color="auto" w:sz="4" w:space="0"/>
              <w:right w:val="single" w:color="auto" w:sz="4" w:space="0"/>
            </w:tcBorders>
            <w:vAlign w:val="center"/>
          </w:tcPr>
          <w:p w14:paraId="73A67C94">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18"/>
                <w:szCs w:val="18"/>
              </w:rPr>
            </w:pPr>
          </w:p>
        </w:tc>
        <w:tc>
          <w:tcPr>
            <w:tcW w:w="1417" w:type="dxa"/>
            <w:tcBorders>
              <w:top w:val="single" w:color="auto" w:sz="4" w:space="0"/>
              <w:left w:val="single" w:color="auto" w:sz="4" w:space="0"/>
              <w:right w:val="single" w:color="auto" w:sz="4" w:space="0"/>
            </w:tcBorders>
            <w:vAlign w:val="center"/>
          </w:tcPr>
          <w:p w14:paraId="550632B3">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数智经营应用</w:t>
            </w:r>
          </w:p>
        </w:tc>
        <w:tc>
          <w:tcPr>
            <w:tcW w:w="6521" w:type="dxa"/>
            <w:tcBorders>
              <w:top w:val="single" w:color="auto" w:sz="4" w:space="0"/>
              <w:left w:val="single" w:color="auto" w:sz="4" w:space="0"/>
              <w:right w:val="single" w:color="auto" w:sz="4" w:space="0"/>
            </w:tcBorders>
            <w:vAlign w:val="center"/>
          </w:tcPr>
          <w:p w14:paraId="69D3DD4F">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片区内各村、各业态之间在客流、商流、车流、信息流等方面实现数智化导流与互推；在现金流方面接入统一支付结算系统，实现“一码通付”、账户管理的数智化。</w:t>
            </w:r>
          </w:p>
        </w:tc>
      </w:tr>
      <w:tr w14:paraId="7D37C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738" w:type="dxa"/>
            <w:vMerge w:val="continue"/>
            <w:tcBorders>
              <w:left w:val="single" w:color="auto" w:sz="4" w:space="0"/>
              <w:right w:val="single" w:color="auto" w:sz="4" w:space="0"/>
            </w:tcBorders>
            <w:vAlign w:val="center"/>
          </w:tcPr>
          <w:p w14:paraId="006308EC">
            <w:pPr>
              <w:pStyle w:val="6"/>
              <w:tabs>
                <w:tab w:val="center" w:pos="4201"/>
                <w:tab w:val="right" w:leader="dot" w:pos="9298"/>
              </w:tabs>
              <w:autoSpaceDE w:val="0"/>
              <w:autoSpaceDN w:val="0"/>
              <w:spacing w:before="0" w:after="0"/>
              <w:rPr>
                <w:rFonts w:ascii="Times New Roman" w:hAnsi="Times New Roman"/>
                <w:sz w:val="18"/>
                <w:szCs w:val="18"/>
              </w:rPr>
            </w:pPr>
          </w:p>
        </w:tc>
        <w:tc>
          <w:tcPr>
            <w:tcW w:w="709" w:type="dxa"/>
            <w:vMerge w:val="continue"/>
            <w:tcBorders>
              <w:left w:val="single" w:color="auto" w:sz="4" w:space="0"/>
              <w:right w:val="single" w:color="auto" w:sz="4" w:space="0"/>
            </w:tcBorders>
            <w:vAlign w:val="center"/>
          </w:tcPr>
          <w:p w14:paraId="7259F05E">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18"/>
                <w:szCs w:val="18"/>
              </w:rPr>
            </w:pPr>
          </w:p>
        </w:tc>
        <w:tc>
          <w:tcPr>
            <w:tcW w:w="1417" w:type="dxa"/>
            <w:tcBorders>
              <w:top w:val="single" w:color="auto" w:sz="4" w:space="0"/>
              <w:left w:val="single" w:color="auto" w:sz="4" w:space="0"/>
              <w:right w:val="single" w:color="auto" w:sz="4" w:space="0"/>
            </w:tcBorders>
            <w:vAlign w:val="center"/>
          </w:tcPr>
          <w:p w14:paraId="7F67448B">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数据安全保障</w:t>
            </w:r>
          </w:p>
        </w:tc>
        <w:tc>
          <w:tcPr>
            <w:tcW w:w="6521" w:type="dxa"/>
            <w:tcBorders>
              <w:top w:val="single" w:color="auto" w:sz="4" w:space="0"/>
              <w:left w:val="single" w:color="auto" w:sz="4" w:space="0"/>
              <w:right w:val="single" w:color="auto" w:sz="4" w:space="0"/>
            </w:tcBorders>
            <w:vAlign w:val="center"/>
          </w:tcPr>
          <w:p w14:paraId="37BD88D9">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数据安全防范与应对机制。</w:t>
            </w:r>
          </w:p>
        </w:tc>
      </w:tr>
      <w:tr w14:paraId="07369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738" w:type="dxa"/>
            <w:vMerge w:val="continue"/>
            <w:tcBorders>
              <w:left w:val="single" w:color="auto" w:sz="4" w:space="0"/>
              <w:right w:val="single" w:color="auto" w:sz="4" w:space="0"/>
            </w:tcBorders>
            <w:vAlign w:val="center"/>
          </w:tcPr>
          <w:p w14:paraId="0B06E1F7">
            <w:pPr>
              <w:pStyle w:val="6"/>
              <w:tabs>
                <w:tab w:val="center" w:pos="4201"/>
                <w:tab w:val="right" w:leader="dot" w:pos="9298"/>
              </w:tabs>
              <w:autoSpaceDE w:val="0"/>
              <w:autoSpaceDN w:val="0"/>
              <w:spacing w:before="0" w:beforeAutospacing="0" w:after="0" w:afterAutospacing="0"/>
              <w:rPr>
                <w:rFonts w:ascii="Times New Roman" w:hAnsi="Times New Roman" w:cs="Times New Roman"/>
                <w:b/>
                <w:bCs/>
                <w:kern w:val="2"/>
                <w:sz w:val="21"/>
                <w:szCs w:val="21"/>
              </w:rPr>
            </w:pPr>
          </w:p>
        </w:tc>
        <w:tc>
          <w:tcPr>
            <w:tcW w:w="709" w:type="dxa"/>
            <w:vMerge w:val="restart"/>
            <w:tcBorders>
              <w:top w:val="single" w:color="auto" w:sz="4" w:space="0"/>
              <w:left w:val="single" w:color="auto" w:sz="4" w:space="0"/>
              <w:right w:val="single" w:color="auto" w:sz="4" w:space="0"/>
            </w:tcBorders>
            <w:vAlign w:val="center"/>
          </w:tcPr>
          <w:p w14:paraId="221766DF">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18"/>
                <w:szCs w:val="18"/>
              </w:rPr>
            </w:pPr>
            <w:r>
              <w:rPr>
                <w:rFonts w:hint="eastAsia" w:ascii="Times New Roman" w:hAnsi="Times New Roman" w:cs="Times New Roman"/>
                <w:b/>
                <w:bCs/>
                <w:kern w:val="2"/>
                <w:sz w:val="18"/>
                <w:szCs w:val="18"/>
              </w:rPr>
              <w:t>产业共兴</w:t>
            </w:r>
          </w:p>
        </w:tc>
        <w:tc>
          <w:tcPr>
            <w:tcW w:w="1417" w:type="dxa"/>
            <w:tcBorders>
              <w:top w:val="single" w:color="auto" w:sz="4" w:space="0"/>
              <w:left w:val="single" w:color="auto" w:sz="4" w:space="0"/>
              <w:bottom w:val="single" w:color="auto" w:sz="4" w:space="0"/>
              <w:right w:val="single" w:color="auto" w:sz="4" w:space="0"/>
            </w:tcBorders>
            <w:vAlign w:val="center"/>
          </w:tcPr>
          <w:p w14:paraId="76D23DF1">
            <w:pPr>
              <w:tabs>
                <w:tab w:val="center" w:pos="4153"/>
              </w:tabs>
              <w:spacing w:line="240" w:lineRule="auto"/>
              <w:jc w:val="center"/>
              <w:rPr>
                <w:rFonts w:ascii="Times New Roman" w:hAnsi="Times New Roman"/>
                <w:sz w:val="18"/>
                <w:szCs w:val="18"/>
              </w:rPr>
            </w:pPr>
            <w:r>
              <w:rPr>
                <w:rFonts w:hint="eastAsia" w:ascii="Times New Roman" w:hAnsi="Times New Roman"/>
                <w:sz w:val="18"/>
                <w:szCs w:val="18"/>
              </w:rPr>
              <w:t>发展特色产业</w:t>
            </w:r>
          </w:p>
        </w:tc>
        <w:tc>
          <w:tcPr>
            <w:tcW w:w="6521" w:type="dxa"/>
            <w:tcBorders>
              <w:top w:val="single" w:color="auto" w:sz="4" w:space="0"/>
              <w:left w:val="single" w:color="auto" w:sz="4" w:space="0"/>
              <w:bottom w:val="single" w:color="auto" w:sz="4" w:space="0"/>
              <w:right w:val="single" w:color="auto" w:sz="4" w:space="0"/>
            </w:tcBorders>
            <w:vAlign w:val="center"/>
          </w:tcPr>
          <w:p w14:paraId="7A9F4AF2">
            <w:pPr>
              <w:tabs>
                <w:tab w:val="center" w:pos="4153"/>
              </w:tabs>
              <w:spacing w:line="240" w:lineRule="auto"/>
              <w:rPr>
                <w:rFonts w:ascii="Times New Roman" w:hAnsi="Times New Roman"/>
                <w:sz w:val="18"/>
                <w:szCs w:val="18"/>
              </w:rPr>
            </w:pPr>
            <w:r>
              <w:rPr>
                <w:rFonts w:hint="eastAsia" w:ascii="Times New Roman" w:hAnsi="Times New Roman"/>
                <w:sz w:val="18"/>
                <w:szCs w:val="18"/>
              </w:rPr>
              <w:t>立足片区资源禀赋，以“农业+”链接“文化、旅游、艺术、体育、商业”，发展特色产业。</w:t>
            </w:r>
          </w:p>
        </w:tc>
      </w:tr>
      <w:tr w14:paraId="7CBC2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9" w:hRule="atLeast"/>
          <w:jc w:val="center"/>
        </w:trPr>
        <w:tc>
          <w:tcPr>
            <w:tcW w:w="738" w:type="dxa"/>
            <w:vMerge w:val="continue"/>
            <w:tcBorders>
              <w:left w:val="single" w:color="auto" w:sz="4" w:space="0"/>
              <w:right w:val="single" w:color="auto" w:sz="4" w:space="0"/>
            </w:tcBorders>
            <w:vAlign w:val="center"/>
          </w:tcPr>
          <w:p w14:paraId="533FFC03">
            <w:pPr>
              <w:spacing w:line="240" w:lineRule="auto"/>
              <w:jc w:val="center"/>
              <w:rPr>
                <w:rFonts w:ascii="Times New Roman" w:hAnsi="Times New Roman"/>
                <w:sz w:val="18"/>
                <w:szCs w:val="18"/>
              </w:rPr>
            </w:pPr>
          </w:p>
        </w:tc>
        <w:tc>
          <w:tcPr>
            <w:tcW w:w="709" w:type="dxa"/>
            <w:vMerge w:val="continue"/>
            <w:tcBorders>
              <w:left w:val="single" w:color="auto" w:sz="4" w:space="0"/>
              <w:right w:val="single" w:color="auto" w:sz="4" w:space="0"/>
            </w:tcBorders>
            <w:vAlign w:val="center"/>
          </w:tcPr>
          <w:p w14:paraId="58B3E404">
            <w:pPr>
              <w:spacing w:line="240" w:lineRule="auto"/>
              <w:jc w:val="center"/>
              <w:rPr>
                <w:rFonts w:ascii="Times New Roman" w:hAnsi="Times New Roman"/>
                <w:b/>
                <w:bCs/>
                <w:sz w:val="18"/>
                <w:szCs w:val="18"/>
              </w:rPr>
            </w:pPr>
          </w:p>
        </w:tc>
        <w:tc>
          <w:tcPr>
            <w:tcW w:w="1417" w:type="dxa"/>
            <w:tcBorders>
              <w:top w:val="single" w:color="auto" w:sz="4" w:space="0"/>
              <w:left w:val="single" w:color="auto" w:sz="4" w:space="0"/>
              <w:bottom w:val="single" w:color="auto" w:sz="4" w:space="0"/>
              <w:right w:val="single" w:color="auto" w:sz="4" w:space="0"/>
            </w:tcBorders>
            <w:vAlign w:val="center"/>
          </w:tcPr>
          <w:p w14:paraId="083F60FF">
            <w:pPr>
              <w:tabs>
                <w:tab w:val="center" w:pos="4153"/>
              </w:tabs>
              <w:spacing w:line="240" w:lineRule="auto"/>
              <w:jc w:val="center"/>
              <w:rPr>
                <w:rFonts w:ascii="Times New Roman" w:hAnsi="Times New Roman"/>
                <w:sz w:val="18"/>
                <w:szCs w:val="18"/>
              </w:rPr>
            </w:pPr>
            <w:r>
              <w:rPr>
                <w:rFonts w:hint="eastAsia" w:ascii="Times New Roman" w:hAnsi="Times New Roman"/>
                <w:sz w:val="18"/>
                <w:szCs w:val="18"/>
              </w:rPr>
              <w:t>延伸产业链条</w:t>
            </w:r>
          </w:p>
        </w:tc>
        <w:tc>
          <w:tcPr>
            <w:tcW w:w="6521" w:type="dxa"/>
            <w:tcBorders>
              <w:top w:val="single" w:color="auto" w:sz="4" w:space="0"/>
              <w:left w:val="single" w:color="auto" w:sz="4" w:space="0"/>
              <w:bottom w:val="single" w:color="auto" w:sz="4" w:space="0"/>
              <w:right w:val="single" w:color="auto" w:sz="4" w:space="0"/>
            </w:tcBorders>
            <w:vAlign w:val="center"/>
          </w:tcPr>
          <w:p w14:paraId="0278CD90">
            <w:pPr>
              <w:tabs>
                <w:tab w:val="center" w:pos="4153"/>
              </w:tabs>
              <w:spacing w:line="240" w:lineRule="auto"/>
              <w:rPr>
                <w:rFonts w:ascii="Times New Roman" w:hAnsi="Times New Roman"/>
                <w:sz w:val="18"/>
                <w:szCs w:val="18"/>
              </w:rPr>
            </w:pPr>
            <w:r>
              <w:rPr>
                <w:rFonts w:hint="eastAsia" w:ascii="Times New Roman" w:hAnsi="Times New Roman"/>
                <w:sz w:val="18"/>
                <w:szCs w:val="18"/>
              </w:rPr>
              <w:t>围绕特色产业，延伸产业链，推动三产融合发展；从事与产业链相关工作的村民数量及占比、外来务工人数。</w:t>
            </w:r>
          </w:p>
        </w:tc>
      </w:tr>
      <w:tr w14:paraId="75ECC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jc w:val="center"/>
        </w:trPr>
        <w:tc>
          <w:tcPr>
            <w:tcW w:w="738" w:type="dxa"/>
            <w:vMerge w:val="continue"/>
            <w:tcBorders>
              <w:left w:val="single" w:color="auto" w:sz="4" w:space="0"/>
              <w:right w:val="single" w:color="auto" w:sz="4" w:space="0"/>
            </w:tcBorders>
            <w:vAlign w:val="center"/>
          </w:tcPr>
          <w:p w14:paraId="59235FFB">
            <w:pPr>
              <w:spacing w:line="240" w:lineRule="auto"/>
              <w:jc w:val="center"/>
              <w:rPr>
                <w:rFonts w:ascii="Times New Roman" w:hAnsi="Times New Roman"/>
                <w:sz w:val="18"/>
                <w:szCs w:val="18"/>
              </w:rPr>
            </w:pPr>
          </w:p>
        </w:tc>
        <w:tc>
          <w:tcPr>
            <w:tcW w:w="709" w:type="dxa"/>
            <w:vMerge w:val="continue"/>
            <w:tcBorders>
              <w:left w:val="single" w:color="auto" w:sz="4" w:space="0"/>
              <w:right w:val="single" w:color="auto" w:sz="4" w:space="0"/>
            </w:tcBorders>
            <w:vAlign w:val="center"/>
          </w:tcPr>
          <w:p w14:paraId="3D260A82">
            <w:pPr>
              <w:spacing w:line="240" w:lineRule="auto"/>
              <w:jc w:val="center"/>
              <w:rPr>
                <w:rFonts w:ascii="Times New Roman" w:hAnsi="Times New Roman"/>
                <w:b/>
                <w:bCs/>
                <w:sz w:val="18"/>
                <w:szCs w:val="18"/>
              </w:rPr>
            </w:pPr>
          </w:p>
        </w:tc>
        <w:tc>
          <w:tcPr>
            <w:tcW w:w="1417" w:type="dxa"/>
            <w:tcBorders>
              <w:top w:val="single" w:color="auto" w:sz="4" w:space="0"/>
              <w:left w:val="single" w:color="auto" w:sz="4" w:space="0"/>
              <w:bottom w:val="single" w:color="auto" w:sz="4" w:space="0"/>
              <w:right w:val="single" w:color="auto" w:sz="4" w:space="0"/>
            </w:tcBorders>
            <w:vAlign w:val="center"/>
          </w:tcPr>
          <w:p w14:paraId="776DED66">
            <w:pPr>
              <w:tabs>
                <w:tab w:val="center" w:pos="4153"/>
              </w:tabs>
              <w:spacing w:line="240" w:lineRule="auto"/>
              <w:jc w:val="center"/>
              <w:rPr>
                <w:rFonts w:ascii="Times New Roman" w:hAnsi="Times New Roman"/>
                <w:sz w:val="18"/>
                <w:szCs w:val="18"/>
              </w:rPr>
            </w:pPr>
            <w:r>
              <w:rPr>
                <w:rFonts w:hint="eastAsia" w:ascii="Times New Roman" w:hAnsi="Times New Roman"/>
                <w:sz w:val="18"/>
                <w:szCs w:val="18"/>
              </w:rPr>
              <w:t>培育产业品牌</w:t>
            </w:r>
          </w:p>
        </w:tc>
        <w:tc>
          <w:tcPr>
            <w:tcW w:w="6521" w:type="dxa"/>
            <w:tcBorders>
              <w:top w:val="single" w:color="auto" w:sz="4" w:space="0"/>
              <w:left w:val="single" w:color="auto" w:sz="4" w:space="0"/>
              <w:bottom w:val="single" w:color="auto" w:sz="4" w:space="0"/>
              <w:right w:val="single" w:color="auto" w:sz="4" w:space="0"/>
            </w:tcBorders>
            <w:vAlign w:val="center"/>
          </w:tcPr>
          <w:p w14:paraId="4F394988">
            <w:pPr>
              <w:tabs>
                <w:tab w:val="center" w:pos="4153"/>
              </w:tabs>
              <w:spacing w:line="240" w:lineRule="auto"/>
              <w:rPr>
                <w:rFonts w:ascii="Times New Roman" w:hAnsi="Times New Roman"/>
                <w:sz w:val="18"/>
                <w:szCs w:val="18"/>
              </w:rPr>
            </w:pPr>
            <w:r>
              <w:rPr>
                <w:rFonts w:hint="eastAsia" w:ascii="Times New Roman" w:hAnsi="Times New Roman"/>
                <w:sz w:val="18"/>
                <w:szCs w:val="18"/>
              </w:rPr>
              <w:t>围绕特色产业，打造产业品牌，设计品牌形象，应用产品包装及相关品牌传播物料。</w:t>
            </w:r>
          </w:p>
        </w:tc>
      </w:tr>
      <w:tr w14:paraId="38222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738" w:type="dxa"/>
            <w:vMerge w:val="continue"/>
            <w:tcBorders>
              <w:left w:val="single" w:color="auto" w:sz="4" w:space="0"/>
              <w:right w:val="single" w:color="auto" w:sz="4" w:space="0"/>
            </w:tcBorders>
            <w:vAlign w:val="center"/>
          </w:tcPr>
          <w:p w14:paraId="174EFC5A">
            <w:pPr>
              <w:spacing w:line="240" w:lineRule="auto"/>
              <w:jc w:val="center"/>
              <w:rPr>
                <w:rFonts w:ascii="Times New Roman" w:hAnsi="Times New Roman"/>
                <w:sz w:val="18"/>
                <w:szCs w:val="18"/>
              </w:rPr>
            </w:pPr>
          </w:p>
        </w:tc>
        <w:tc>
          <w:tcPr>
            <w:tcW w:w="709" w:type="dxa"/>
            <w:vMerge w:val="continue"/>
            <w:tcBorders>
              <w:left w:val="single" w:color="auto" w:sz="4" w:space="0"/>
              <w:right w:val="single" w:color="auto" w:sz="4" w:space="0"/>
            </w:tcBorders>
            <w:vAlign w:val="center"/>
          </w:tcPr>
          <w:p w14:paraId="4C33D0B3">
            <w:pPr>
              <w:spacing w:line="240" w:lineRule="auto"/>
              <w:jc w:val="center"/>
              <w:rPr>
                <w:rFonts w:ascii="Times New Roman" w:hAnsi="Times New Roman"/>
                <w:b/>
                <w:bCs/>
                <w:sz w:val="18"/>
                <w:szCs w:val="18"/>
              </w:rPr>
            </w:pPr>
          </w:p>
        </w:tc>
        <w:tc>
          <w:tcPr>
            <w:tcW w:w="1417" w:type="dxa"/>
            <w:tcBorders>
              <w:top w:val="single" w:color="auto" w:sz="4" w:space="0"/>
              <w:left w:val="single" w:color="auto" w:sz="4" w:space="0"/>
              <w:bottom w:val="single" w:color="auto" w:sz="4" w:space="0"/>
              <w:right w:val="single" w:color="auto" w:sz="4" w:space="0"/>
            </w:tcBorders>
            <w:vAlign w:val="center"/>
          </w:tcPr>
          <w:p w14:paraId="7ADA5238">
            <w:pPr>
              <w:tabs>
                <w:tab w:val="center" w:pos="4153"/>
              </w:tabs>
              <w:spacing w:line="240" w:lineRule="auto"/>
              <w:jc w:val="center"/>
              <w:rPr>
                <w:rFonts w:ascii="Times New Roman" w:hAnsi="Times New Roman"/>
                <w:sz w:val="18"/>
                <w:szCs w:val="18"/>
              </w:rPr>
            </w:pPr>
            <w:r>
              <w:rPr>
                <w:rFonts w:hint="eastAsia" w:ascii="Times New Roman" w:hAnsi="Times New Roman"/>
                <w:sz w:val="18"/>
                <w:szCs w:val="18"/>
              </w:rPr>
              <w:t>形成产业集群</w:t>
            </w:r>
          </w:p>
        </w:tc>
        <w:tc>
          <w:tcPr>
            <w:tcW w:w="6521" w:type="dxa"/>
            <w:tcBorders>
              <w:top w:val="single" w:color="auto" w:sz="4" w:space="0"/>
              <w:left w:val="single" w:color="auto" w:sz="4" w:space="0"/>
              <w:bottom w:val="single" w:color="auto" w:sz="4" w:space="0"/>
              <w:right w:val="single" w:color="auto" w:sz="4" w:space="0"/>
            </w:tcBorders>
            <w:vAlign w:val="center"/>
          </w:tcPr>
          <w:p w14:paraId="24911D77">
            <w:pPr>
              <w:tabs>
                <w:tab w:val="center" w:pos="4153"/>
              </w:tabs>
              <w:spacing w:line="240" w:lineRule="auto"/>
              <w:rPr>
                <w:rFonts w:ascii="Times New Roman" w:hAnsi="Times New Roman"/>
                <w:sz w:val="18"/>
                <w:szCs w:val="18"/>
              </w:rPr>
            </w:pPr>
            <w:r>
              <w:rPr>
                <w:rFonts w:hint="eastAsia" w:ascii="Times New Roman" w:hAnsi="Times New Roman"/>
                <w:sz w:val="18"/>
                <w:szCs w:val="18"/>
              </w:rPr>
              <w:t>片区内的特色产业呈现出一定的产业集聚特征。</w:t>
            </w:r>
          </w:p>
        </w:tc>
      </w:tr>
      <w:tr w14:paraId="0696B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738" w:type="dxa"/>
            <w:vMerge w:val="continue"/>
            <w:tcBorders>
              <w:left w:val="single" w:color="auto" w:sz="4" w:space="0"/>
              <w:right w:val="single" w:color="auto" w:sz="4" w:space="0"/>
            </w:tcBorders>
            <w:vAlign w:val="center"/>
          </w:tcPr>
          <w:p w14:paraId="10AAFD30">
            <w:pPr>
              <w:spacing w:line="240" w:lineRule="auto"/>
              <w:jc w:val="center"/>
              <w:rPr>
                <w:rFonts w:ascii="Times New Roman" w:hAnsi="Times New Roman"/>
                <w:sz w:val="18"/>
                <w:szCs w:val="18"/>
              </w:rPr>
            </w:pPr>
          </w:p>
        </w:tc>
        <w:tc>
          <w:tcPr>
            <w:tcW w:w="709" w:type="dxa"/>
            <w:vMerge w:val="restart"/>
            <w:tcBorders>
              <w:top w:val="single" w:color="auto" w:sz="4" w:space="0"/>
              <w:left w:val="single" w:color="auto" w:sz="4" w:space="0"/>
              <w:right w:val="single" w:color="auto" w:sz="4" w:space="0"/>
            </w:tcBorders>
            <w:vAlign w:val="center"/>
          </w:tcPr>
          <w:p w14:paraId="0ABFDD80">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18"/>
                <w:szCs w:val="18"/>
              </w:rPr>
            </w:pPr>
            <w:r>
              <w:rPr>
                <w:rFonts w:ascii="Times New Roman" w:hAnsi="Times New Roman" w:cs="Times New Roman"/>
                <w:b/>
                <w:bCs/>
                <w:kern w:val="2"/>
                <w:sz w:val="18"/>
                <w:szCs w:val="18"/>
              </w:rPr>
              <w:t>品牌</w:t>
            </w:r>
            <w:r>
              <w:rPr>
                <w:rFonts w:hint="eastAsia" w:ascii="Times New Roman" w:hAnsi="Times New Roman" w:cs="Times New Roman"/>
                <w:b/>
                <w:bCs/>
                <w:kern w:val="2"/>
                <w:sz w:val="18"/>
                <w:szCs w:val="18"/>
              </w:rPr>
              <w:t>共创</w:t>
            </w:r>
          </w:p>
        </w:tc>
        <w:tc>
          <w:tcPr>
            <w:tcW w:w="1417" w:type="dxa"/>
            <w:tcBorders>
              <w:top w:val="single" w:color="auto" w:sz="4" w:space="0"/>
              <w:left w:val="single" w:color="auto" w:sz="4" w:space="0"/>
              <w:bottom w:val="single" w:color="auto" w:sz="4" w:space="0"/>
              <w:right w:val="single" w:color="auto" w:sz="4" w:space="0"/>
            </w:tcBorders>
            <w:vAlign w:val="center"/>
          </w:tcPr>
          <w:p w14:paraId="7DA140C7">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塑造片区品牌</w:t>
            </w:r>
          </w:p>
        </w:tc>
        <w:tc>
          <w:tcPr>
            <w:tcW w:w="6521" w:type="dxa"/>
            <w:tcBorders>
              <w:top w:val="single" w:color="auto" w:sz="4" w:space="0"/>
              <w:left w:val="single" w:color="auto" w:sz="4" w:space="0"/>
              <w:bottom w:val="single" w:color="auto" w:sz="4" w:space="0"/>
              <w:right w:val="single" w:color="auto" w:sz="4" w:space="0"/>
            </w:tcBorders>
            <w:vAlign w:val="center"/>
          </w:tcPr>
          <w:p w14:paraId="2E3F04DC">
            <w:pPr>
              <w:snapToGrid w:val="0"/>
              <w:spacing w:line="240" w:lineRule="auto"/>
              <w:jc w:val="left"/>
              <w:rPr>
                <w:rFonts w:ascii="Times New Roman" w:hAnsi="Times New Roman"/>
                <w:sz w:val="18"/>
                <w:szCs w:val="18"/>
              </w:rPr>
            </w:pPr>
            <w:r>
              <w:rPr>
                <w:rFonts w:hint="eastAsia" w:ascii="Times New Roman" w:hAnsi="Times New Roman"/>
                <w:sz w:val="18"/>
                <w:szCs w:val="18"/>
              </w:rPr>
              <w:t>片区有完整、系统、统一的品牌规划与设计；有清晰的品牌定位和品牌核心价值。</w:t>
            </w:r>
          </w:p>
        </w:tc>
      </w:tr>
      <w:tr w14:paraId="3FB43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738" w:type="dxa"/>
            <w:vMerge w:val="continue"/>
            <w:tcBorders>
              <w:left w:val="single" w:color="auto" w:sz="4" w:space="0"/>
              <w:right w:val="single" w:color="auto" w:sz="4" w:space="0"/>
            </w:tcBorders>
            <w:vAlign w:val="center"/>
          </w:tcPr>
          <w:p w14:paraId="5E949EF9">
            <w:pPr>
              <w:spacing w:line="240" w:lineRule="auto"/>
              <w:jc w:val="center"/>
              <w:rPr>
                <w:rFonts w:ascii="Times New Roman" w:hAnsi="Times New Roman"/>
                <w:sz w:val="18"/>
                <w:szCs w:val="18"/>
              </w:rPr>
            </w:pPr>
          </w:p>
        </w:tc>
        <w:tc>
          <w:tcPr>
            <w:tcW w:w="709" w:type="dxa"/>
            <w:vMerge w:val="continue"/>
            <w:tcBorders>
              <w:top w:val="single" w:color="auto" w:sz="4" w:space="0"/>
              <w:left w:val="single" w:color="auto" w:sz="4" w:space="0"/>
              <w:right w:val="single" w:color="auto" w:sz="4" w:space="0"/>
            </w:tcBorders>
            <w:vAlign w:val="center"/>
          </w:tcPr>
          <w:p w14:paraId="06A3AD72">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18"/>
                <w:szCs w:val="18"/>
              </w:rPr>
            </w:pPr>
          </w:p>
        </w:tc>
        <w:tc>
          <w:tcPr>
            <w:tcW w:w="1417" w:type="dxa"/>
            <w:tcBorders>
              <w:top w:val="single" w:color="auto" w:sz="4" w:space="0"/>
              <w:left w:val="single" w:color="auto" w:sz="4" w:space="0"/>
              <w:bottom w:val="single" w:color="auto" w:sz="4" w:space="0"/>
              <w:right w:val="single" w:color="auto" w:sz="4" w:space="0"/>
            </w:tcBorders>
            <w:vAlign w:val="center"/>
          </w:tcPr>
          <w:p w14:paraId="5041B2F9">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保护知识产权</w:t>
            </w:r>
          </w:p>
        </w:tc>
        <w:tc>
          <w:tcPr>
            <w:tcW w:w="6521" w:type="dxa"/>
            <w:tcBorders>
              <w:top w:val="single" w:color="auto" w:sz="4" w:space="0"/>
              <w:left w:val="single" w:color="auto" w:sz="4" w:space="0"/>
              <w:bottom w:val="single" w:color="auto" w:sz="4" w:space="0"/>
              <w:right w:val="single" w:color="auto" w:sz="4" w:space="0"/>
            </w:tcBorders>
            <w:vAlign w:val="center"/>
          </w:tcPr>
          <w:p w14:paraId="037BDC05">
            <w:pPr>
              <w:snapToGrid w:val="0"/>
              <w:spacing w:line="240" w:lineRule="auto"/>
              <w:jc w:val="left"/>
              <w:rPr>
                <w:rFonts w:ascii="Times New Roman" w:hAnsi="Times New Roman"/>
                <w:sz w:val="18"/>
                <w:szCs w:val="18"/>
              </w:rPr>
            </w:pPr>
            <w:r>
              <w:rPr>
                <w:rFonts w:hint="eastAsia" w:ascii="Times New Roman" w:hAnsi="Times New Roman"/>
                <w:sz w:val="18"/>
                <w:szCs w:val="18"/>
              </w:rPr>
              <w:t>对片区品牌</w:t>
            </w:r>
            <w:r>
              <w:rPr>
                <w:rFonts w:ascii="Times New Roman" w:hAnsi="Times New Roman"/>
                <w:sz w:val="18"/>
                <w:szCs w:val="18"/>
              </w:rPr>
              <w:t>logo</w:t>
            </w:r>
            <w:r>
              <w:rPr>
                <w:rFonts w:hint="eastAsia" w:ascii="Times New Roman" w:hAnsi="Times New Roman"/>
                <w:sz w:val="18"/>
                <w:szCs w:val="18"/>
              </w:rPr>
              <w:t>、品牌名称等进行商标注册；对未能注册的文字和图形图像进行版权登记保护。</w:t>
            </w:r>
          </w:p>
        </w:tc>
      </w:tr>
      <w:tr w14:paraId="64984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jc w:val="center"/>
        </w:trPr>
        <w:tc>
          <w:tcPr>
            <w:tcW w:w="738" w:type="dxa"/>
            <w:vMerge w:val="continue"/>
            <w:tcBorders>
              <w:left w:val="single" w:color="auto" w:sz="4" w:space="0"/>
              <w:right w:val="single" w:color="auto" w:sz="4" w:space="0"/>
            </w:tcBorders>
            <w:vAlign w:val="center"/>
          </w:tcPr>
          <w:p w14:paraId="003DD395">
            <w:pPr>
              <w:spacing w:line="240" w:lineRule="auto"/>
              <w:jc w:val="center"/>
              <w:rPr>
                <w:rFonts w:ascii="Times New Roman" w:hAnsi="Times New Roman"/>
                <w:sz w:val="18"/>
                <w:szCs w:val="18"/>
              </w:rPr>
            </w:pPr>
          </w:p>
        </w:tc>
        <w:tc>
          <w:tcPr>
            <w:tcW w:w="709" w:type="dxa"/>
            <w:vMerge w:val="continue"/>
            <w:tcBorders>
              <w:left w:val="single" w:color="auto" w:sz="4" w:space="0"/>
              <w:right w:val="single" w:color="auto" w:sz="4" w:space="0"/>
            </w:tcBorders>
            <w:vAlign w:val="center"/>
          </w:tcPr>
          <w:p w14:paraId="5EEA9EB8">
            <w:pPr>
              <w:spacing w:line="240" w:lineRule="auto"/>
              <w:jc w:val="center"/>
              <w:rPr>
                <w:rFonts w:ascii="Times New Roman" w:hAnsi="Times New Roman"/>
                <w:b/>
                <w:bCs/>
                <w:sz w:val="18"/>
                <w:szCs w:val="18"/>
              </w:rPr>
            </w:pPr>
          </w:p>
        </w:tc>
        <w:tc>
          <w:tcPr>
            <w:tcW w:w="1417" w:type="dxa"/>
            <w:tcBorders>
              <w:top w:val="single" w:color="auto" w:sz="4" w:space="0"/>
              <w:left w:val="single" w:color="auto" w:sz="4" w:space="0"/>
              <w:bottom w:val="single" w:color="auto" w:sz="4" w:space="0"/>
              <w:right w:val="single" w:color="auto" w:sz="4" w:space="0"/>
            </w:tcBorders>
            <w:vAlign w:val="center"/>
          </w:tcPr>
          <w:p w14:paraId="69D7DD66">
            <w:pPr>
              <w:tabs>
                <w:tab w:val="center" w:pos="4153"/>
              </w:tabs>
              <w:spacing w:line="240" w:lineRule="auto"/>
              <w:jc w:val="center"/>
              <w:rPr>
                <w:rFonts w:ascii="Times New Roman" w:hAnsi="Times New Roman"/>
                <w:sz w:val="18"/>
                <w:szCs w:val="18"/>
              </w:rPr>
            </w:pPr>
            <w:r>
              <w:rPr>
                <w:rFonts w:hint="eastAsia" w:ascii="Times New Roman" w:hAnsi="Times New Roman"/>
                <w:sz w:val="18"/>
                <w:szCs w:val="18"/>
              </w:rPr>
              <w:t>建构母子品牌</w:t>
            </w:r>
          </w:p>
        </w:tc>
        <w:tc>
          <w:tcPr>
            <w:tcW w:w="6521" w:type="dxa"/>
            <w:tcBorders>
              <w:top w:val="single" w:color="auto" w:sz="4" w:space="0"/>
              <w:left w:val="single" w:color="auto" w:sz="4" w:space="0"/>
              <w:bottom w:val="single" w:color="auto" w:sz="4" w:space="0"/>
              <w:right w:val="single" w:color="auto" w:sz="4" w:space="0"/>
            </w:tcBorders>
            <w:vAlign w:val="center"/>
          </w:tcPr>
          <w:p w14:paraId="19557124">
            <w:pPr>
              <w:snapToGrid w:val="0"/>
              <w:spacing w:line="240" w:lineRule="auto"/>
              <w:jc w:val="left"/>
              <w:rPr>
                <w:rFonts w:ascii="Times New Roman" w:hAnsi="Times New Roman"/>
                <w:sz w:val="18"/>
                <w:szCs w:val="18"/>
              </w:rPr>
            </w:pPr>
            <w:r>
              <w:rPr>
                <w:rFonts w:hint="eastAsia" w:ascii="Times New Roman" w:hAnsi="Times New Roman"/>
                <w:sz w:val="18"/>
                <w:szCs w:val="18"/>
              </w:rPr>
              <w:t>片区品牌与片区内的产业品牌、各村庄品牌、民俗节庆品牌等形成统分结合的母子品牌结构。</w:t>
            </w:r>
          </w:p>
        </w:tc>
      </w:tr>
      <w:tr w14:paraId="66A19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738" w:type="dxa"/>
            <w:vMerge w:val="continue"/>
            <w:tcBorders>
              <w:left w:val="single" w:color="auto" w:sz="4" w:space="0"/>
              <w:right w:val="single" w:color="auto" w:sz="4" w:space="0"/>
            </w:tcBorders>
            <w:vAlign w:val="center"/>
          </w:tcPr>
          <w:p w14:paraId="418FB95A">
            <w:pPr>
              <w:spacing w:line="240" w:lineRule="auto"/>
              <w:jc w:val="center"/>
              <w:rPr>
                <w:rFonts w:ascii="Times New Roman" w:hAnsi="Times New Roman"/>
                <w:sz w:val="18"/>
                <w:szCs w:val="18"/>
              </w:rPr>
            </w:pPr>
          </w:p>
        </w:tc>
        <w:tc>
          <w:tcPr>
            <w:tcW w:w="709" w:type="dxa"/>
            <w:vMerge w:val="continue"/>
            <w:tcBorders>
              <w:left w:val="single" w:color="auto" w:sz="4" w:space="0"/>
              <w:right w:val="single" w:color="auto" w:sz="4" w:space="0"/>
            </w:tcBorders>
            <w:vAlign w:val="center"/>
          </w:tcPr>
          <w:p w14:paraId="41C67CA0">
            <w:pPr>
              <w:spacing w:line="240" w:lineRule="auto"/>
              <w:jc w:val="center"/>
              <w:rPr>
                <w:rFonts w:ascii="Times New Roman" w:hAnsi="Times New Roman"/>
                <w:b/>
                <w:bCs/>
                <w:sz w:val="18"/>
                <w:szCs w:val="18"/>
              </w:rPr>
            </w:pPr>
          </w:p>
        </w:tc>
        <w:tc>
          <w:tcPr>
            <w:tcW w:w="1417" w:type="dxa"/>
            <w:tcBorders>
              <w:top w:val="single" w:color="auto" w:sz="4" w:space="0"/>
              <w:left w:val="single" w:color="auto" w:sz="4" w:space="0"/>
              <w:bottom w:val="single" w:color="auto" w:sz="4" w:space="0"/>
              <w:right w:val="single" w:color="auto" w:sz="4" w:space="0"/>
            </w:tcBorders>
            <w:vAlign w:val="center"/>
          </w:tcPr>
          <w:p w14:paraId="76A7D22D">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落地品牌视觉</w:t>
            </w:r>
          </w:p>
        </w:tc>
        <w:tc>
          <w:tcPr>
            <w:tcW w:w="6521" w:type="dxa"/>
            <w:tcBorders>
              <w:top w:val="single" w:color="auto" w:sz="4" w:space="0"/>
              <w:left w:val="single" w:color="auto" w:sz="4" w:space="0"/>
              <w:bottom w:val="single" w:color="auto" w:sz="4" w:space="0"/>
              <w:right w:val="single" w:color="auto" w:sz="4" w:space="0"/>
            </w:tcBorders>
            <w:vAlign w:val="center"/>
          </w:tcPr>
          <w:p w14:paraId="1F36F033">
            <w:pPr>
              <w:pStyle w:val="6"/>
              <w:tabs>
                <w:tab w:val="center" w:pos="4201"/>
                <w:tab w:val="right" w:leader="dot" w:pos="9298"/>
              </w:tabs>
              <w:autoSpaceDE w:val="0"/>
              <w:autoSpaceDN w:val="0"/>
              <w:spacing w:before="0" w:beforeAutospacing="0" w:after="0" w:afterAutospacing="0"/>
              <w:jc w:val="both"/>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片区品牌在产品包装、村容风貌、业态场景、导视系统、民俗节庆等方面的应用情况。</w:t>
            </w:r>
          </w:p>
        </w:tc>
      </w:tr>
      <w:tr w14:paraId="3847C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9" w:hRule="atLeast"/>
          <w:jc w:val="center"/>
        </w:trPr>
        <w:tc>
          <w:tcPr>
            <w:tcW w:w="738" w:type="dxa"/>
            <w:vMerge w:val="continue"/>
            <w:tcBorders>
              <w:left w:val="single" w:color="auto" w:sz="4" w:space="0"/>
              <w:right w:val="single" w:color="auto" w:sz="4" w:space="0"/>
            </w:tcBorders>
            <w:vAlign w:val="center"/>
          </w:tcPr>
          <w:p w14:paraId="60997AF2">
            <w:pPr>
              <w:spacing w:line="240" w:lineRule="auto"/>
              <w:jc w:val="center"/>
              <w:rPr>
                <w:rFonts w:ascii="Times New Roman" w:hAnsi="Times New Roman"/>
                <w:sz w:val="18"/>
                <w:szCs w:val="18"/>
              </w:rPr>
            </w:pPr>
          </w:p>
        </w:tc>
        <w:tc>
          <w:tcPr>
            <w:tcW w:w="709" w:type="dxa"/>
            <w:vMerge w:val="continue"/>
            <w:tcBorders>
              <w:left w:val="single" w:color="auto" w:sz="4" w:space="0"/>
              <w:right w:val="single" w:color="auto" w:sz="4" w:space="0"/>
            </w:tcBorders>
            <w:vAlign w:val="center"/>
          </w:tcPr>
          <w:p w14:paraId="7B0E7BD0">
            <w:pPr>
              <w:spacing w:line="240" w:lineRule="auto"/>
              <w:jc w:val="center"/>
              <w:rPr>
                <w:rFonts w:ascii="Times New Roman" w:hAnsi="Times New Roman"/>
                <w:b/>
                <w:bCs/>
                <w:sz w:val="18"/>
                <w:szCs w:val="18"/>
              </w:rPr>
            </w:pPr>
          </w:p>
        </w:tc>
        <w:tc>
          <w:tcPr>
            <w:tcW w:w="1417" w:type="dxa"/>
            <w:tcBorders>
              <w:top w:val="single" w:color="auto" w:sz="4" w:space="0"/>
              <w:left w:val="single" w:color="auto" w:sz="4" w:space="0"/>
              <w:bottom w:val="single" w:color="auto" w:sz="4" w:space="0"/>
              <w:right w:val="single" w:color="auto" w:sz="4" w:space="0"/>
            </w:tcBorders>
            <w:vAlign w:val="center"/>
          </w:tcPr>
          <w:p w14:paraId="75B0DBF6">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开展品牌传播</w:t>
            </w:r>
          </w:p>
        </w:tc>
        <w:tc>
          <w:tcPr>
            <w:tcW w:w="6521" w:type="dxa"/>
            <w:tcBorders>
              <w:top w:val="single" w:color="auto" w:sz="4" w:space="0"/>
              <w:left w:val="single" w:color="auto" w:sz="4" w:space="0"/>
              <w:bottom w:val="single" w:color="auto" w:sz="4" w:space="0"/>
              <w:right w:val="single" w:color="auto" w:sz="4" w:space="0"/>
            </w:tcBorders>
            <w:vAlign w:val="center"/>
          </w:tcPr>
          <w:p w14:paraId="1CF360E2">
            <w:pPr>
              <w:snapToGrid w:val="0"/>
              <w:spacing w:line="240" w:lineRule="auto"/>
              <w:jc w:val="left"/>
              <w:rPr>
                <w:rFonts w:ascii="Times New Roman" w:hAnsi="Times New Roman"/>
                <w:sz w:val="18"/>
                <w:szCs w:val="18"/>
              </w:rPr>
            </w:pPr>
            <w:r>
              <w:rPr>
                <w:rFonts w:hint="eastAsia" w:ascii="Times New Roman" w:hAnsi="Times New Roman"/>
                <w:sz w:val="18"/>
                <w:szCs w:val="18"/>
              </w:rPr>
              <w:t>片区品牌在权威媒体、社交媒体、旅游群体等方面的感知力和感召力，包括媒体能见度、媒体正负评价、旅游群体正负评价等；近三年游客人次和增长情况。</w:t>
            </w:r>
          </w:p>
        </w:tc>
      </w:tr>
      <w:tr w14:paraId="752B7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jc w:val="center"/>
        </w:trPr>
        <w:tc>
          <w:tcPr>
            <w:tcW w:w="738" w:type="dxa"/>
            <w:vMerge w:val="continue"/>
            <w:tcBorders>
              <w:left w:val="single" w:color="auto" w:sz="4" w:space="0"/>
              <w:right w:val="single" w:color="auto" w:sz="4" w:space="0"/>
            </w:tcBorders>
            <w:vAlign w:val="center"/>
          </w:tcPr>
          <w:p w14:paraId="3401A201">
            <w:pPr>
              <w:spacing w:line="240" w:lineRule="auto"/>
              <w:jc w:val="center"/>
              <w:rPr>
                <w:rFonts w:ascii="Times New Roman" w:hAnsi="Times New Roman"/>
                <w:sz w:val="18"/>
                <w:szCs w:val="18"/>
              </w:rPr>
            </w:pPr>
          </w:p>
        </w:tc>
        <w:tc>
          <w:tcPr>
            <w:tcW w:w="709" w:type="dxa"/>
            <w:vMerge w:val="restart"/>
            <w:tcBorders>
              <w:left w:val="single" w:color="auto" w:sz="4" w:space="0"/>
              <w:right w:val="single" w:color="auto" w:sz="4" w:space="0"/>
            </w:tcBorders>
            <w:vAlign w:val="center"/>
          </w:tcPr>
          <w:p w14:paraId="3DB0D735">
            <w:pPr>
              <w:spacing w:line="240" w:lineRule="auto"/>
              <w:jc w:val="center"/>
              <w:rPr>
                <w:rFonts w:ascii="Times New Roman" w:hAnsi="Times New Roman"/>
                <w:b/>
                <w:bCs/>
                <w:sz w:val="18"/>
                <w:szCs w:val="18"/>
              </w:rPr>
            </w:pPr>
            <w:r>
              <w:rPr>
                <w:rFonts w:hint="eastAsia" w:ascii="Times New Roman" w:hAnsi="Times New Roman"/>
                <w:b/>
                <w:bCs/>
                <w:sz w:val="18"/>
                <w:szCs w:val="18"/>
              </w:rPr>
              <w:t>人才共育</w:t>
            </w:r>
          </w:p>
        </w:tc>
        <w:tc>
          <w:tcPr>
            <w:tcW w:w="1417" w:type="dxa"/>
            <w:tcBorders>
              <w:top w:val="single" w:color="auto" w:sz="4" w:space="0"/>
              <w:left w:val="single" w:color="auto" w:sz="4" w:space="0"/>
              <w:bottom w:val="single" w:color="auto" w:sz="4" w:space="0"/>
              <w:right w:val="single" w:color="auto" w:sz="4" w:space="0"/>
            </w:tcBorders>
            <w:vAlign w:val="center"/>
          </w:tcPr>
          <w:p w14:paraId="443CD3BC">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招纳专业人才</w:t>
            </w:r>
          </w:p>
        </w:tc>
        <w:tc>
          <w:tcPr>
            <w:tcW w:w="6521" w:type="dxa"/>
            <w:tcBorders>
              <w:top w:val="single" w:color="auto" w:sz="4" w:space="0"/>
              <w:left w:val="single" w:color="auto" w:sz="4" w:space="0"/>
              <w:bottom w:val="single" w:color="auto" w:sz="4" w:space="0"/>
              <w:right w:val="single" w:color="auto" w:sz="4" w:space="0"/>
            </w:tcBorders>
            <w:vAlign w:val="center"/>
          </w:tcPr>
          <w:p w14:paraId="6C93B813">
            <w:pPr>
              <w:pStyle w:val="6"/>
              <w:tabs>
                <w:tab w:val="center" w:pos="4201"/>
                <w:tab w:val="right" w:leader="dot" w:pos="9298"/>
              </w:tabs>
              <w:autoSpaceDE w:val="0"/>
              <w:autoSpaceDN w:val="0"/>
              <w:spacing w:before="0" w:beforeAutospacing="0" w:after="0" w:afterAutospacing="0"/>
              <w:jc w:val="both"/>
              <w:rPr>
                <w:rFonts w:ascii="Times New Roman" w:hAnsi="Times New Roman"/>
                <w:sz w:val="18"/>
                <w:szCs w:val="18"/>
              </w:rPr>
            </w:pPr>
            <w:r>
              <w:rPr>
                <w:rFonts w:hint="eastAsia" w:ascii="Times New Roman" w:hAnsi="Times New Roman"/>
                <w:sz w:val="18"/>
                <w:szCs w:val="18"/>
              </w:rPr>
              <w:t>片区近三年来招纳的各类专业人才数量。</w:t>
            </w:r>
          </w:p>
        </w:tc>
      </w:tr>
      <w:tr w14:paraId="61447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738" w:type="dxa"/>
            <w:vMerge w:val="continue"/>
            <w:tcBorders>
              <w:left w:val="single" w:color="auto" w:sz="4" w:space="0"/>
              <w:right w:val="single" w:color="auto" w:sz="4" w:space="0"/>
            </w:tcBorders>
            <w:vAlign w:val="center"/>
          </w:tcPr>
          <w:p w14:paraId="1E9B84A4">
            <w:pPr>
              <w:spacing w:line="240" w:lineRule="auto"/>
              <w:jc w:val="center"/>
              <w:rPr>
                <w:rFonts w:ascii="Times New Roman" w:hAnsi="Times New Roman"/>
                <w:sz w:val="18"/>
                <w:szCs w:val="18"/>
              </w:rPr>
            </w:pPr>
          </w:p>
        </w:tc>
        <w:tc>
          <w:tcPr>
            <w:tcW w:w="709" w:type="dxa"/>
            <w:vMerge w:val="continue"/>
            <w:tcBorders>
              <w:left w:val="single" w:color="auto" w:sz="4" w:space="0"/>
              <w:right w:val="single" w:color="auto" w:sz="4" w:space="0"/>
            </w:tcBorders>
            <w:vAlign w:val="center"/>
          </w:tcPr>
          <w:p w14:paraId="4F3C477E">
            <w:pPr>
              <w:spacing w:line="240" w:lineRule="auto"/>
              <w:jc w:val="center"/>
              <w:rPr>
                <w:rFonts w:ascii="Times New Roman" w:hAnsi="Times New Roman"/>
                <w:b/>
                <w:bCs/>
                <w:sz w:val="18"/>
                <w:szCs w:val="18"/>
              </w:rPr>
            </w:pPr>
          </w:p>
        </w:tc>
        <w:tc>
          <w:tcPr>
            <w:tcW w:w="1417" w:type="dxa"/>
            <w:tcBorders>
              <w:top w:val="single" w:color="auto" w:sz="4" w:space="0"/>
              <w:left w:val="single" w:color="auto" w:sz="4" w:space="0"/>
              <w:bottom w:val="single" w:color="auto" w:sz="4" w:space="0"/>
              <w:right w:val="single" w:color="auto" w:sz="4" w:space="0"/>
            </w:tcBorders>
            <w:vAlign w:val="center"/>
          </w:tcPr>
          <w:p w14:paraId="568F844A">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扶持青年入乡</w:t>
            </w:r>
          </w:p>
        </w:tc>
        <w:tc>
          <w:tcPr>
            <w:tcW w:w="6521" w:type="dxa"/>
            <w:tcBorders>
              <w:top w:val="single" w:color="auto" w:sz="4" w:space="0"/>
              <w:left w:val="single" w:color="auto" w:sz="4" w:space="0"/>
              <w:bottom w:val="single" w:color="auto" w:sz="4" w:space="0"/>
              <w:right w:val="single" w:color="auto" w:sz="4" w:space="0"/>
            </w:tcBorders>
            <w:vAlign w:val="center"/>
          </w:tcPr>
          <w:p w14:paraId="5AD2EAB7">
            <w:pPr>
              <w:pStyle w:val="6"/>
              <w:tabs>
                <w:tab w:val="center" w:pos="4201"/>
                <w:tab w:val="right" w:leader="dot" w:pos="9298"/>
              </w:tabs>
              <w:autoSpaceDE w:val="0"/>
              <w:autoSpaceDN w:val="0"/>
              <w:spacing w:before="0" w:beforeAutospacing="0" w:after="0" w:afterAutospacing="0"/>
              <w:jc w:val="both"/>
              <w:rPr>
                <w:rFonts w:ascii="Times New Roman" w:hAnsi="Times New Roman"/>
                <w:sz w:val="18"/>
                <w:szCs w:val="18"/>
              </w:rPr>
            </w:pPr>
            <w:r>
              <w:rPr>
                <w:rFonts w:hint="eastAsia" w:ascii="Times New Roman" w:hAnsi="Times New Roman"/>
                <w:sz w:val="18"/>
                <w:szCs w:val="18"/>
              </w:rPr>
              <w:t>片区近三年招纳的专业人才中青年人才的数量/占比；</w:t>
            </w:r>
          </w:p>
          <w:p w14:paraId="68835488">
            <w:pPr>
              <w:pStyle w:val="6"/>
              <w:tabs>
                <w:tab w:val="center" w:pos="4201"/>
                <w:tab w:val="right" w:leader="dot" w:pos="9298"/>
              </w:tabs>
              <w:autoSpaceDE w:val="0"/>
              <w:autoSpaceDN w:val="0"/>
              <w:spacing w:before="0" w:beforeAutospacing="0" w:after="0" w:afterAutospacing="0"/>
              <w:jc w:val="both"/>
              <w:rPr>
                <w:rFonts w:ascii="Times New Roman" w:hAnsi="Times New Roman"/>
                <w:sz w:val="18"/>
                <w:szCs w:val="18"/>
              </w:rPr>
            </w:pPr>
            <w:r>
              <w:rPr>
                <w:rFonts w:hint="eastAsia" w:ascii="Times New Roman" w:hAnsi="Times New Roman"/>
                <w:sz w:val="18"/>
                <w:szCs w:val="18"/>
              </w:rPr>
              <w:t>针对青年人才（含大学生）入乡制定明确的目标。</w:t>
            </w:r>
          </w:p>
        </w:tc>
      </w:tr>
      <w:tr w14:paraId="4A2F5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738" w:type="dxa"/>
            <w:vMerge w:val="continue"/>
            <w:tcBorders>
              <w:left w:val="single" w:color="auto" w:sz="4" w:space="0"/>
              <w:right w:val="single" w:color="auto" w:sz="4" w:space="0"/>
            </w:tcBorders>
            <w:vAlign w:val="center"/>
          </w:tcPr>
          <w:p w14:paraId="1ADABAAC">
            <w:pPr>
              <w:spacing w:line="240" w:lineRule="auto"/>
              <w:jc w:val="center"/>
              <w:rPr>
                <w:rFonts w:ascii="Times New Roman" w:hAnsi="Times New Roman"/>
                <w:sz w:val="18"/>
                <w:szCs w:val="18"/>
              </w:rPr>
            </w:pPr>
          </w:p>
        </w:tc>
        <w:tc>
          <w:tcPr>
            <w:tcW w:w="709" w:type="dxa"/>
            <w:vMerge w:val="continue"/>
            <w:tcBorders>
              <w:left w:val="single" w:color="auto" w:sz="4" w:space="0"/>
              <w:right w:val="single" w:color="auto" w:sz="4" w:space="0"/>
            </w:tcBorders>
            <w:vAlign w:val="center"/>
          </w:tcPr>
          <w:p w14:paraId="5438116E">
            <w:pPr>
              <w:spacing w:line="240" w:lineRule="auto"/>
              <w:jc w:val="center"/>
              <w:rPr>
                <w:rFonts w:ascii="Times New Roman" w:hAnsi="Times New Roman"/>
                <w:b/>
                <w:bCs/>
                <w:sz w:val="18"/>
                <w:szCs w:val="18"/>
              </w:rPr>
            </w:pPr>
          </w:p>
        </w:tc>
        <w:tc>
          <w:tcPr>
            <w:tcW w:w="1417" w:type="dxa"/>
            <w:tcBorders>
              <w:top w:val="single" w:color="auto" w:sz="4" w:space="0"/>
              <w:left w:val="single" w:color="auto" w:sz="4" w:space="0"/>
              <w:bottom w:val="single" w:color="auto" w:sz="4" w:space="0"/>
              <w:right w:val="single" w:color="auto" w:sz="4" w:space="0"/>
            </w:tcBorders>
            <w:vAlign w:val="center"/>
          </w:tcPr>
          <w:p w14:paraId="0601849A">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落实激励机制</w:t>
            </w:r>
          </w:p>
        </w:tc>
        <w:tc>
          <w:tcPr>
            <w:tcW w:w="6521" w:type="dxa"/>
            <w:tcBorders>
              <w:top w:val="single" w:color="auto" w:sz="4" w:space="0"/>
              <w:left w:val="single" w:color="auto" w:sz="4" w:space="0"/>
              <w:bottom w:val="single" w:color="auto" w:sz="4" w:space="0"/>
              <w:right w:val="single" w:color="auto" w:sz="4" w:space="0"/>
            </w:tcBorders>
            <w:vAlign w:val="center"/>
          </w:tcPr>
          <w:p w14:paraId="0348C10B">
            <w:pPr>
              <w:pStyle w:val="6"/>
              <w:tabs>
                <w:tab w:val="center" w:pos="4201"/>
                <w:tab w:val="right" w:leader="dot" w:pos="9298"/>
              </w:tabs>
              <w:autoSpaceDE w:val="0"/>
              <w:autoSpaceDN w:val="0"/>
              <w:spacing w:before="0" w:beforeAutospacing="0" w:after="0" w:afterAutospacing="0"/>
              <w:jc w:val="both"/>
              <w:rPr>
                <w:rFonts w:ascii="Times New Roman" w:hAnsi="Times New Roman"/>
                <w:sz w:val="18"/>
                <w:szCs w:val="18"/>
              </w:rPr>
            </w:pPr>
            <w:r>
              <w:rPr>
                <w:rFonts w:hint="eastAsia" w:ascii="Times New Roman" w:hAnsi="Times New Roman"/>
                <w:sz w:val="18"/>
                <w:szCs w:val="18"/>
              </w:rPr>
              <w:t>为人才提供资金、政策、培训、住宿、生活等层面的扶持和激励，并保障落实。</w:t>
            </w:r>
          </w:p>
        </w:tc>
      </w:tr>
      <w:tr w14:paraId="0BC3C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9" w:hRule="atLeast"/>
          <w:jc w:val="center"/>
        </w:trPr>
        <w:tc>
          <w:tcPr>
            <w:tcW w:w="738" w:type="dxa"/>
            <w:vMerge w:val="restart"/>
            <w:tcBorders>
              <w:top w:val="single" w:color="auto" w:sz="4" w:space="0"/>
              <w:left w:val="single" w:color="auto" w:sz="4" w:space="0"/>
              <w:right w:val="single" w:color="auto" w:sz="4" w:space="0"/>
            </w:tcBorders>
            <w:vAlign w:val="center"/>
          </w:tcPr>
          <w:p w14:paraId="15235E69">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r>
              <w:rPr>
                <w:rFonts w:ascii="Times New Roman" w:hAnsi="Times New Roman" w:cs="Times New Roman"/>
                <w:b/>
                <w:bCs/>
                <w:kern w:val="2"/>
                <w:sz w:val="21"/>
                <w:szCs w:val="21"/>
              </w:rPr>
              <w:t>品牌贡献要素</w:t>
            </w:r>
          </w:p>
        </w:tc>
        <w:tc>
          <w:tcPr>
            <w:tcW w:w="709" w:type="dxa"/>
            <w:vMerge w:val="restart"/>
            <w:tcBorders>
              <w:top w:val="single" w:color="auto" w:sz="4" w:space="0"/>
              <w:left w:val="single" w:color="auto" w:sz="4" w:space="0"/>
              <w:right w:val="single" w:color="auto" w:sz="4" w:space="0"/>
            </w:tcBorders>
            <w:vAlign w:val="center"/>
          </w:tcPr>
          <w:p w14:paraId="08E98FA1">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color w:val="C00000"/>
                <w:kern w:val="2"/>
                <w:sz w:val="18"/>
                <w:szCs w:val="18"/>
              </w:rPr>
            </w:pPr>
            <w:r>
              <w:rPr>
                <w:rFonts w:hint="eastAsia" w:ascii="Times New Roman" w:hAnsi="Times New Roman" w:cs="Times New Roman"/>
                <w:b/>
                <w:bCs/>
                <w:color w:val="000000" w:themeColor="text1"/>
                <w:kern w:val="2"/>
                <w:sz w:val="18"/>
                <w:szCs w:val="18"/>
                <w14:textFill>
                  <w14:solidFill>
                    <w14:schemeClr w14:val="tx1"/>
                  </w14:solidFill>
                </w14:textFill>
              </w:rPr>
              <w:t>社区共治</w:t>
            </w:r>
          </w:p>
        </w:tc>
        <w:tc>
          <w:tcPr>
            <w:tcW w:w="1417" w:type="dxa"/>
            <w:tcBorders>
              <w:top w:val="single" w:color="auto" w:sz="4" w:space="0"/>
              <w:left w:val="single" w:color="auto" w:sz="4" w:space="0"/>
              <w:right w:val="single" w:color="auto" w:sz="4" w:space="0"/>
            </w:tcBorders>
            <w:vAlign w:val="center"/>
          </w:tcPr>
          <w:p w14:paraId="0337D0C9">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多方参与机制</w:t>
            </w:r>
          </w:p>
        </w:tc>
        <w:tc>
          <w:tcPr>
            <w:tcW w:w="6521" w:type="dxa"/>
            <w:tcBorders>
              <w:top w:val="single" w:color="auto" w:sz="4" w:space="0"/>
              <w:left w:val="single" w:color="auto" w:sz="4" w:space="0"/>
              <w:bottom w:val="single" w:color="auto" w:sz="4" w:space="0"/>
              <w:right w:val="single" w:color="auto" w:sz="4" w:space="0"/>
            </w:tcBorders>
            <w:vAlign w:val="center"/>
          </w:tcPr>
          <w:p w14:paraId="0F515277">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政府农业部门及其他职能部门、社会组织、企业、村集体、业态经营者、村民等利益相关者广泛参与片区事务，形成“多元共治”机制。</w:t>
            </w:r>
          </w:p>
        </w:tc>
      </w:tr>
      <w:tr w14:paraId="787E3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jc w:val="center"/>
        </w:trPr>
        <w:tc>
          <w:tcPr>
            <w:tcW w:w="738" w:type="dxa"/>
            <w:vMerge w:val="continue"/>
            <w:tcBorders>
              <w:left w:val="single" w:color="auto" w:sz="4" w:space="0"/>
              <w:right w:val="single" w:color="auto" w:sz="4" w:space="0"/>
            </w:tcBorders>
            <w:vAlign w:val="center"/>
          </w:tcPr>
          <w:p w14:paraId="7063A8D9">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p>
        </w:tc>
        <w:tc>
          <w:tcPr>
            <w:tcW w:w="709" w:type="dxa"/>
            <w:vMerge w:val="continue"/>
            <w:tcBorders>
              <w:top w:val="single" w:color="auto" w:sz="4" w:space="0"/>
              <w:left w:val="single" w:color="auto" w:sz="4" w:space="0"/>
              <w:right w:val="single" w:color="auto" w:sz="4" w:space="0"/>
            </w:tcBorders>
            <w:vAlign w:val="center"/>
          </w:tcPr>
          <w:p w14:paraId="3A517BE0">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color w:val="C00000"/>
                <w:kern w:val="2"/>
                <w:sz w:val="18"/>
                <w:szCs w:val="18"/>
              </w:rPr>
            </w:pPr>
          </w:p>
        </w:tc>
        <w:tc>
          <w:tcPr>
            <w:tcW w:w="1417" w:type="dxa"/>
            <w:tcBorders>
              <w:top w:val="single" w:color="auto" w:sz="4" w:space="0"/>
              <w:left w:val="single" w:color="auto" w:sz="4" w:space="0"/>
              <w:right w:val="single" w:color="auto" w:sz="4" w:space="0"/>
            </w:tcBorders>
            <w:vAlign w:val="center"/>
          </w:tcPr>
          <w:p w14:paraId="630A218E">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利益分配机制</w:t>
            </w:r>
          </w:p>
        </w:tc>
        <w:tc>
          <w:tcPr>
            <w:tcW w:w="6521" w:type="dxa"/>
            <w:tcBorders>
              <w:top w:val="single" w:color="auto" w:sz="4" w:space="0"/>
              <w:left w:val="single" w:color="auto" w:sz="4" w:space="0"/>
              <w:bottom w:val="single" w:color="auto" w:sz="4" w:space="0"/>
              <w:right w:val="single" w:color="auto" w:sz="4" w:space="0"/>
            </w:tcBorders>
            <w:vAlign w:val="center"/>
          </w:tcPr>
          <w:p w14:paraId="16B634FB">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强团公司与各村级集体组织或强村公司、村民等利益相关者之间结成紧密的利益分配机制；利益分配兑现及监管情况。</w:t>
            </w:r>
          </w:p>
        </w:tc>
      </w:tr>
      <w:tr w14:paraId="42E30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8" w:hRule="atLeast"/>
          <w:jc w:val="center"/>
        </w:trPr>
        <w:tc>
          <w:tcPr>
            <w:tcW w:w="738" w:type="dxa"/>
            <w:vMerge w:val="continue"/>
            <w:tcBorders>
              <w:left w:val="single" w:color="auto" w:sz="4" w:space="0"/>
              <w:right w:val="single" w:color="auto" w:sz="4" w:space="0"/>
            </w:tcBorders>
            <w:vAlign w:val="center"/>
          </w:tcPr>
          <w:p w14:paraId="1DA0D6C2">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p>
        </w:tc>
        <w:tc>
          <w:tcPr>
            <w:tcW w:w="709" w:type="dxa"/>
            <w:vMerge w:val="continue"/>
            <w:tcBorders>
              <w:left w:val="single" w:color="auto" w:sz="4" w:space="0"/>
              <w:right w:val="single" w:color="auto" w:sz="4" w:space="0"/>
            </w:tcBorders>
            <w:vAlign w:val="center"/>
          </w:tcPr>
          <w:p w14:paraId="3E5B7F75">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color w:val="C00000"/>
                <w:kern w:val="2"/>
                <w:sz w:val="18"/>
                <w:szCs w:val="18"/>
              </w:rPr>
            </w:pPr>
          </w:p>
        </w:tc>
        <w:tc>
          <w:tcPr>
            <w:tcW w:w="1417" w:type="dxa"/>
            <w:tcBorders>
              <w:top w:val="single" w:color="auto" w:sz="4" w:space="0"/>
              <w:left w:val="single" w:color="auto" w:sz="4" w:space="0"/>
              <w:right w:val="single" w:color="auto" w:sz="4" w:space="0"/>
            </w:tcBorders>
            <w:vAlign w:val="center"/>
          </w:tcPr>
          <w:p w14:paraId="57358112">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社区幸福感知</w:t>
            </w:r>
          </w:p>
        </w:tc>
        <w:tc>
          <w:tcPr>
            <w:tcW w:w="6521" w:type="dxa"/>
            <w:tcBorders>
              <w:top w:val="single" w:color="auto" w:sz="4" w:space="0"/>
              <w:left w:val="single" w:color="auto" w:sz="4" w:space="0"/>
              <w:bottom w:val="single" w:color="auto" w:sz="4" w:space="0"/>
              <w:right w:val="single" w:color="auto" w:sz="4" w:space="0"/>
            </w:tcBorders>
            <w:vAlign w:val="center"/>
          </w:tcPr>
          <w:p w14:paraId="3AA57A03">
            <w:pPr>
              <w:pStyle w:val="6"/>
              <w:tabs>
                <w:tab w:val="center" w:pos="4201"/>
                <w:tab w:val="right" w:leader="dot" w:pos="9298"/>
              </w:tabs>
              <w:autoSpaceDE w:val="0"/>
              <w:autoSpaceDN w:val="0"/>
              <w:adjustRightInd w:val="0"/>
              <w:snapToGrid w:val="0"/>
              <w:spacing w:before="0" w:beforeAutospacing="0" w:after="0" w:afterAutospacing="0"/>
              <w:rPr>
                <w:rFonts w:ascii="Times New Roman" w:hAnsi="Times New Roman" w:cs="Times New Roman"/>
                <w:kern w:val="2"/>
                <w:sz w:val="18"/>
                <w:szCs w:val="18"/>
              </w:rPr>
            </w:pPr>
            <w:r>
              <w:rPr>
                <w:rFonts w:hint="eastAsia" w:ascii="Times New Roman" w:hAnsi="Times New Roman" w:cs="Times New Roman"/>
                <w:kern w:val="2"/>
                <w:sz w:val="18"/>
                <w:szCs w:val="18"/>
              </w:rPr>
              <w:t>各村集体、村民对片区事务的参与度和积极性；对片区组团经营效果和社区生活的满意度。</w:t>
            </w:r>
          </w:p>
        </w:tc>
      </w:tr>
      <w:tr w14:paraId="0139B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738" w:type="dxa"/>
            <w:vMerge w:val="continue"/>
            <w:tcBorders>
              <w:left w:val="single" w:color="auto" w:sz="4" w:space="0"/>
              <w:right w:val="single" w:color="auto" w:sz="4" w:space="0"/>
            </w:tcBorders>
            <w:vAlign w:val="center"/>
          </w:tcPr>
          <w:p w14:paraId="19C42EEE">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p>
        </w:tc>
        <w:tc>
          <w:tcPr>
            <w:tcW w:w="709" w:type="dxa"/>
            <w:vMerge w:val="restart"/>
            <w:tcBorders>
              <w:left w:val="single" w:color="auto" w:sz="4" w:space="0"/>
              <w:right w:val="single" w:color="auto" w:sz="4" w:space="0"/>
            </w:tcBorders>
            <w:vAlign w:val="center"/>
          </w:tcPr>
          <w:p w14:paraId="16491537">
            <w:pPr>
              <w:spacing w:line="240" w:lineRule="auto"/>
              <w:jc w:val="center"/>
              <w:rPr>
                <w:rFonts w:ascii="Times New Roman" w:hAnsi="Times New Roman"/>
                <w:b/>
                <w:bCs/>
                <w:color w:val="C00000"/>
                <w:sz w:val="18"/>
                <w:szCs w:val="18"/>
              </w:rPr>
            </w:pPr>
            <w:r>
              <w:rPr>
                <w:rFonts w:hint="eastAsia" w:ascii="Times New Roman" w:hAnsi="Times New Roman"/>
                <w:b/>
                <w:bCs/>
                <w:color w:val="000000" w:themeColor="text1"/>
                <w:sz w:val="18"/>
                <w:szCs w:val="18"/>
                <w14:textFill>
                  <w14:solidFill>
                    <w14:schemeClr w14:val="tx1"/>
                  </w14:solidFill>
                </w14:textFill>
              </w:rPr>
              <w:t>服务共享</w:t>
            </w:r>
          </w:p>
        </w:tc>
        <w:tc>
          <w:tcPr>
            <w:tcW w:w="1417" w:type="dxa"/>
            <w:tcBorders>
              <w:top w:val="single" w:color="auto" w:sz="4" w:space="0"/>
              <w:left w:val="single" w:color="auto" w:sz="4" w:space="0"/>
              <w:right w:val="single" w:color="auto" w:sz="4" w:space="0"/>
            </w:tcBorders>
            <w:vAlign w:val="center"/>
          </w:tcPr>
          <w:p w14:paraId="0CBF8DAA">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联通基础设施</w:t>
            </w:r>
          </w:p>
        </w:tc>
        <w:tc>
          <w:tcPr>
            <w:tcW w:w="6521" w:type="dxa"/>
            <w:tcBorders>
              <w:top w:val="single" w:color="auto" w:sz="4" w:space="0"/>
              <w:left w:val="single" w:color="auto" w:sz="4" w:space="0"/>
              <w:bottom w:val="single" w:color="auto" w:sz="4" w:space="0"/>
              <w:right w:val="single" w:color="auto" w:sz="4" w:space="0"/>
            </w:tcBorders>
            <w:vAlign w:val="center"/>
          </w:tcPr>
          <w:p w14:paraId="2BAA6C74">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片区内道路交通、游步道、停车场、游客中心、文化礼堂、旅游线路等基础设施的互通互联。</w:t>
            </w:r>
          </w:p>
        </w:tc>
      </w:tr>
      <w:tr w14:paraId="7AB0E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738" w:type="dxa"/>
            <w:vMerge w:val="continue"/>
            <w:tcBorders>
              <w:left w:val="single" w:color="auto" w:sz="4" w:space="0"/>
              <w:right w:val="single" w:color="auto" w:sz="4" w:space="0"/>
            </w:tcBorders>
            <w:vAlign w:val="center"/>
          </w:tcPr>
          <w:p w14:paraId="1F205BCA">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p>
        </w:tc>
        <w:tc>
          <w:tcPr>
            <w:tcW w:w="709" w:type="dxa"/>
            <w:vMerge w:val="continue"/>
            <w:tcBorders>
              <w:left w:val="single" w:color="auto" w:sz="4" w:space="0"/>
              <w:right w:val="single" w:color="auto" w:sz="4" w:space="0"/>
            </w:tcBorders>
            <w:vAlign w:val="center"/>
          </w:tcPr>
          <w:p w14:paraId="376E10ED">
            <w:pPr>
              <w:spacing w:line="240" w:lineRule="auto"/>
              <w:jc w:val="center"/>
              <w:rPr>
                <w:rFonts w:ascii="Times New Roman" w:hAnsi="Times New Roman"/>
                <w:b/>
                <w:bCs/>
                <w:color w:val="000000" w:themeColor="text1"/>
                <w:sz w:val="18"/>
                <w:szCs w:val="18"/>
                <w14:textFill>
                  <w14:solidFill>
                    <w14:schemeClr w14:val="tx1"/>
                  </w14:solidFill>
                </w14:textFill>
              </w:rPr>
            </w:pPr>
          </w:p>
        </w:tc>
        <w:tc>
          <w:tcPr>
            <w:tcW w:w="1417" w:type="dxa"/>
            <w:tcBorders>
              <w:top w:val="single" w:color="auto" w:sz="4" w:space="0"/>
              <w:left w:val="single" w:color="auto" w:sz="4" w:space="0"/>
              <w:right w:val="single" w:color="auto" w:sz="4" w:space="0"/>
            </w:tcBorders>
            <w:vAlign w:val="center"/>
          </w:tcPr>
          <w:p w14:paraId="148C3073">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共享便民服务</w:t>
            </w:r>
          </w:p>
        </w:tc>
        <w:tc>
          <w:tcPr>
            <w:tcW w:w="6521" w:type="dxa"/>
            <w:tcBorders>
              <w:top w:val="single" w:color="auto" w:sz="4" w:space="0"/>
              <w:left w:val="single" w:color="auto" w:sz="4" w:space="0"/>
              <w:bottom w:val="single" w:color="auto" w:sz="4" w:space="0"/>
              <w:right w:val="single" w:color="auto" w:sz="4" w:space="0"/>
            </w:tcBorders>
            <w:vAlign w:val="center"/>
          </w:tcPr>
          <w:p w14:paraId="612B6D90">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color w:val="C00000"/>
                <w:kern w:val="2"/>
                <w:sz w:val="18"/>
                <w:szCs w:val="18"/>
              </w:rPr>
            </w:pPr>
            <w:r>
              <w:rPr>
                <w:rFonts w:hint="eastAsia" w:ascii="Times New Roman" w:hAnsi="Times New Roman" w:cs="Times New Roman"/>
                <w:kern w:val="2"/>
                <w:sz w:val="18"/>
                <w:szCs w:val="18"/>
              </w:rPr>
              <w:t>片区内游客中心、文化礼堂、停车场、物流、医疗、养老、食堂等便民服务共享情况。</w:t>
            </w:r>
          </w:p>
        </w:tc>
      </w:tr>
      <w:tr w14:paraId="4D66F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2" w:hRule="atLeast"/>
          <w:jc w:val="center"/>
        </w:trPr>
        <w:tc>
          <w:tcPr>
            <w:tcW w:w="738" w:type="dxa"/>
            <w:vMerge w:val="continue"/>
            <w:tcBorders>
              <w:left w:val="single" w:color="auto" w:sz="4" w:space="0"/>
              <w:right w:val="single" w:color="auto" w:sz="4" w:space="0"/>
            </w:tcBorders>
            <w:vAlign w:val="center"/>
          </w:tcPr>
          <w:p w14:paraId="6FF0CB4F">
            <w:pPr>
              <w:spacing w:line="240" w:lineRule="auto"/>
              <w:jc w:val="center"/>
              <w:rPr>
                <w:rFonts w:ascii="Times New Roman" w:hAnsi="Times New Roman"/>
                <w:sz w:val="18"/>
                <w:szCs w:val="18"/>
              </w:rPr>
            </w:pPr>
          </w:p>
        </w:tc>
        <w:tc>
          <w:tcPr>
            <w:tcW w:w="709" w:type="dxa"/>
            <w:vMerge w:val="continue"/>
            <w:tcBorders>
              <w:left w:val="single" w:color="auto" w:sz="4" w:space="0"/>
              <w:right w:val="single" w:color="auto" w:sz="4" w:space="0"/>
            </w:tcBorders>
            <w:vAlign w:val="center"/>
          </w:tcPr>
          <w:p w14:paraId="03B4832C">
            <w:pPr>
              <w:spacing w:line="240" w:lineRule="auto"/>
              <w:jc w:val="center"/>
              <w:rPr>
                <w:rFonts w:ascii="Times New Roman" w:hAnsi="Times New Roman"/>
                <w:b/>
                <w:bCs/>
                <w:color w:val="C00000"/>
                <w:sz w:val="18"/>
                <w:szCs w:val="18"/>
              </w:rPr>
            </w:pPr>
          </w:p>
        </w:tc>
        <w:tc>
          <w:tcPr>
            <w:tcW w:w="1417" w:type="dxa"/>
            <w:tcBorders>
              <w:top w:val="single" w:color="auto" w:sz="4" w:space="0"/>
              <w:left w:val="single" w:color="auto" w:sz="4" w:space="0"/>
              <w:bottom w:val="single" w:color="auto" w:sz="4" w:space="0"/>
              <w:right w:val="single" w:color="auto" w:sz="4" w:space="0"/>
            </w:tcBorders>
            <w:vAlign w:val="center"/>
          </w:tcPr>
          <w:p w14:paraId="3F18F0FF">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创新服务模式</w:t>
            </w:r>
          </w:p>
        </w:tc>
        <w:tc>
          <w:tcPr>
            <w:tcW w:w="6521" w:type="dxa"/>
            <w:tcBorders>
              <w:left w:val="single" w:color="auto" w:sz="4" w:space="0"/>
              <w:right w:val="single" w:color="auto" w:sz="4" w:space="0"/>
            </w:tcBorders>
            <w:vAlign w:val="center"/>
          </w:tcPr>
          <w:p w14:paraId="3AE24173">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面向村民、游客、投资商等开展的创新性服务举措。</w:t>
            </w:r>
          </w:p>
        </w:tc>
      </w:tr>
      <w:tr w14:paraId="129AE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738" w:type="dxa"/>
            <w:vMerge w:val="continue"/>
            <w:tcBorders>
              <w:left w:val="single" w:color="auto" w:sz="4" w:space="0"/>
              <w:right w:val="single" w:color="auto" w:sz="4" w:space="0"/>
            </w:tcBorders>
            <w:vAlign w:val="center"/>
          </w:tcPr>
          <w:p w14:paraId="0248A3BD">
            <w:pPr>
              <w:spacing w:line="240" w:lineRule="auto"/>
              <w:jc w:val="center"/>
              <w:rPr>
                <w:rFonts w:ascii="Times New Roman" w:hAnsi="Times New Roman"/>
                <w:sz w:val="18"/>
                <w:szCs w:val="18"/>
              </w:rPr>
            </w:pPr>
          </w:p>
        </w:tc>
        <w:tc>
          <w:tcPr>
            <w:tcW w:w="709" w:type="dxa"/>
            <w:vMerge w:val="restart"/>
            <w:tcBorders>
              <w:top w:val="single" w:color="auto" w:sz="4" w:space="0"/>
              <w:left w:val="single" w:color="auto" w:sz="4" w:space="0"/>
              <w:right w:val="single" w:color="auto" w:sz="4" w:space="0"/>
            </w:tcBorders>
            <w:vAlign w:val="center"/>
          </w:tcPr>
          <w:p w14:paraId="37BE362B">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color w:val="C00000"/>
                <w:kern w:val="2"/>
                <w:sz w:val="18"/>
                <w:szCs w:val="18"/>
              </w:rPr>
            </w:pPr>
            <w:r>
              <w:rPr>
                <w:rFonts w:hint="eastAsia" w:ascii="Times New Roman" w:hAnsi="Times New Roman" w:cs="Times New Roman"/>
                <w:b/>
                <w:bCs/>
                <w:color w:val="000000" w:themeColor="text1"/>
                <w:kern w:val="2"/>
                <w:sz w:val="18"/>
                <w:szCs w:val="18"/>
                <w14:textFill>
                  <w14:solidFill>
                    <w14:schemeClr w14:val="tx1"/>
                  </w14:solidFill>
                </w14:textFill>
              </w:rPr>
              <w:t>资产共营</w:t>
            </w:r>
          </w:p>
        </w:tc>
        <w:tc>
          <w:tcPr>
            <w:tcW w:w="1417" w:type="dxa"/>
            <w:tcBorders>
              <w:top w:val="single" w:color="auto" w:sz="4" w:space="0"/>
              <w:left w:val="single" w:color="auto" w:sz="4" w:space="0"/>
              <w:bottom w:val="single" w:color="auto" w:sz="4" w:space="0"/>
              <w:right w:val="single" w:color="auto" w:sz="4" w:space="0"/>
            </w:tcBorders>
            <w:vAlign w:val="center"/>
          </w:tcPr>
          <w:p w14:paraId="1730E56B">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color w:val="C00000"/>
                <w:kern w:val="2"/>
                <w:sz w:val="18"/>
                <w:szCs w:val="18"/>
              </w:rPr>
            </w:pPr>
            <w:r>
              <w:rPr>
                <w:rFonts w:hint="eastAsia" w:ascii="Times New Roman" w:hAnsi="Times New Roman" w:cs="Times New Roman"/>
                <w:kern w:val="2"/>
                <w:sz w:val="18"/>
                <w:szCs w:val="18"/>
              </w:rPr>
              <w:t>开展市场运营</w:t>
            </w:r>
          </w:p>
        </w:tc>
        <w:tc>
          <w:tcPr>
            <w:tcW w:w="6521" w:type="dxa"/>
            <w:tcBorders>
              <w:top w:val="single" w:color="auto" w:sz="4" w:space="0"/>
              <w:left w:val="single" w:color="auto" w:sz="4" w:space="0"/>
              <w:bottom w:val="single" w:color="auto" w:sz="4" w:space="0"/>
              <w:right w:val="single" w:color="auto" w:sz="4" w:space="0"/>
            </w:tcBorders>
            <w:vAlign w:val="center"/>
          </w:tcPr>
          <w:p w14:paraId="49DE0386">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通过统一的市场运营主体，整合片区全域资源，开展实质性运营工作，如招商引资、场景营造、渠道拓展、对外传播、申请项目、建设实施等。</w:t>
            </w:r>
          </w:p>
        </w:tc>
      </w:tr>
      <w:tr w14:paraId="28B62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1" w:hRule="atLeast"/>
          <w:jc w:val="center"/>
        </w:trPr>
        <w:tc>
          <w:tcPr>
            <w:tcW w:w="738" w:type="dxa"/>
            <w:vMerge w:val="continue"/>
            <w:tcBorders>
              <w:left w:val="single" w:color="auto" w:sz="4" w:space="0"/>
              <w:right w:val="single" w:color="auto" w:sz="4" w:space="0"/>
            </w:tcBorders>
            <w:vAlign w:val="center"/>
          </w:tcPr>
          <w:p w14:paraId="5BD9742B">
            <w:pPr>
              <w:spacing w:line="240" w:lineRule="auto"/>
              <w:jc w:val="center"/>
              <w:rPr>
                <w:rFonts w:ascii="Times New Roman" w:hAnsi="Times New Roman"/>
                <w:sz w:val="18"/>
                <w:szCs w:val="18"/>
              </w:rPr>
            </w:pPr>
          </w:p>
        </w:tc>
        <w:tc>
          <w:tcPr>
            <w:tcW w:w="709" w:type="dxa"/>
            <w:vMerge w:val="continue"/>
            <w:tcBorders>
              <w:left w:val="single" w:color="auto" w:sz="4" w:space="0"/>
              <w:right w:val="single" w:color="auto" w:sz="4" w:space="0"/>
            </w:tcBorders>
            <w:vAlign w:val="center"/>
          </w:tcPr>
          <w:p w14:paraId="404A7FDF">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color w:val="C00000"/>
                <w:kern w:val="2"/>
                <w:sz w:val="18"/>
                <w:szCs w:val="18"/>
              </w:rPr>
            </w:pPr>
          </w:p>
        </w:tc>
        <w:tc>
          <w:tcPr>
            <w:tcW w:w="1417" w:type="dxa"/>
            <w:tcBorders>
              <w:top w:val="single" w:color="auto" w:sz="4" w:space="0"/>
              <w:left w:val="single" w:color="auto" w:sz="4" w:space="0"/>
              <w:bottom w:val="single" w:color="auto" w:sz="4" w:space="0"/>
              <w:right w:val="single" w:color="auto" w:sz="4" w:space="0"/>
            </w:tcBorders>
            <w:vAlign w:val="center"/>
          </w:tcPr>
          <w:p w14:paraId="05185738">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新型产品开发</w:t>
            </w:r>
          </w:p>
        </w:tc>
        <w:tc>
          <w:tcPr>
            <w:tcW w:w="6521" w:type="dxa"/>
            <w:tcBorders>
              <w:top w:val="single" w:color="auto" w:sz="4" w:space="0"/>
              <w:left w:val="single" w:color="auto" w:sz="4" w:space="0"/>
              <w:bottom w:val="single" w:color="auto" w:sz="4" w:space="0"/>
              <w:right w:val="single" w:color="auto" w:sz="4" w:space="0"/>
            </w:tcBorders>
            <w:vAlign w:val="center"/>
          </w:tcPr>
          <w:p w14:paraId="11D6C495">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超越现有资产租赁模式，围绕片区特色产业，深度开发新型产品，增加片区经营性收入。</w:t>
            </w:r>
          </w:p>
        </w:tc>
      </w:tr>
      <w:tr w14:paraId="1EEC9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738" w:type="dxa"/>
            <w:vMerge w:val="continue"/>
            <w:tcBorders>
              <w:left w:val="single" w:color="auto" w:sz="4" w:space="0"/>
              <w:right w:val="single" w:color="auto" w:sz="4" w:space="0"/>
            </w:tcBorders>
            <w:vAlign w:val="center"/>
          </w:tcPr>
          <w:p w14:paraId="6FDC8A1D">
            <w:pPr>
              <w:spacing w:line="240" w:lineRule="auto"/>
              <w:jc w:val="center"/>
              <w:rPr>
                <w:rFonts w:ascii="Times New Roman" w:hAnsi="Times New Roman"/>
                <w:sz w:val="18"/>
                <w:szCs w:val="18"/>
              </w:rPr>
            </w:pPr>
          </w:p>
        </w:tc>
        <w:tc>
          <w:tcPr>
            <w:tcW w:w="709" w:type="dxa"/>
            <w:vMerge w:val="continue"/>
            <w:tcBorders>
              <w:left w:val="single" w:color="auto" w:sz="4" w:space="0"/>
              <w:right w:val="single" w:color="auto" w:sz="4" w:space="0"/>
            </w:tcBorders>
            <w:vAlign w:val="center"/>
          </w:tcPr>
          <w:p w14:paraId="7AAB6D3F">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color w:val="C00000"/>
                <w:kern w:val="2"/>
                <w:sz w:val="18"/>
                <w:szCs w:val="18"/>
              </w:rPr>
            </w:pPr>
          </w:p>
        </w:tc>
        <w:tc>
          <w:tcPr>
            <w:tcW w:w="1417" w:type="dxa"/>
            <w:tcBorders>
              <w:top w:val="single" w:color="auto" w:sz="4" w:space="0"/>
              <w:left w:val="single" w:color="auto" w:sz="4" w:space="0"/>
              <w:bottom w:val="single" w:color="auto" w:sz="4" w:space="0"/>
              <w:right w:val="single" w:color="auto" w:sz="4" w:space="0"/>
            </w:tcBorders>
            <w:vAlign w:val="center"/>
          </w:tcPr>
          <w:p w14:paraId="1D8B0DB0">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评估运营成效</w:t>
            </w:r>
          </w:p>
        </w:tc>
        <w:tc>
          <w:tcPr>
            <w:tcW w:w="6521" w:type="dxa"/>
            <w:tcBorders>
              <w:top w:val="single" w:color="auto" w:sz="4" w:space="0"/>
              <w:left w:val="single" w:color="auto" w:sz="4" w:space="0"/>
              <w:bottom w:val="single" w:color="auto" w:sz="4" w:space="0"/>
              <w:right w:val="single" w:color="auto" w:sz="4" w:space="0"/>
            </w:tcBorders>
            <w:vAlign w:val="center"/>
          </w:tcPr>
          <w:p w14:paraId="7A98DFE4">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近三年，村集体资产保值增值情况；村民户均收入增长情况；强团公司投资、收入、负债与利润情况；片区招商引资项目数量及投资额；片区获上级部门嘉奖、专项补贴和社会荣誉情况。</w:t>
            </w:r>
          </w:p>
        </w:tc>
      </w:tr>
      <w:tr w14:paraId="6B57F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738" w:type="dxa"/>
            <w:vMerge w:val="continue"/>
            <w:tcBorders>
              <w:left w:val="single" w:color="auto" w:sz="4" w:space="0"/>
              <w:right w:val="single" w:color="auto" w:sz="4" w:space="0"/>
            </w:tcBorders>
            <w:vAlign w:val="center"/>
          </w:tcPr>
          <w:p w14:paraId="74D6FECF">
            <w:pPr>
              <w:spacing w:line="240" w:lineRule="auto"/>
              <w:jc w:val="center"/>
              <w:rPr>
                <w:rFonts w:ascii="Times New Roman" w:hAnsi="Times New Roman"/>
                <w:sz w:val="18"/>
                <w:szCs w:val="18"/>
              </w:rPr>
            </w:pPr>
          </w:p>
        </w:tc>
        <w:tc>
          <w:tcPr>
            <w:tcW w:w="709" w:type="dxa"/>
            <w:vMerge w:val="restart"/>
            <w:tcBorders>
              <w:top w:val="single" w:color="auto" w:sz="4" w:space="0"/>
              <w:left w:val="single" w:color="auto" w:sz="4" w:space="0"/>
              <w:right w:val="single" w:color="auto" w:sz="4" w:space="0"/>
            </w:tcBorders>
            <w:vAlign w:val="center"/>
          </w:tcPr>
          <w:p w14:paraId="76FA46C1">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color w:val="C00000"/>
                <w:kern w:val="2"/>
                <w:sz w:val="18"/>
                <w:szCs w:val="18"/>
              </w:rPr>
            </w:pPr>
            <w:r>
              <w:rPr>
                <w:rFonts w:hint="eastAsia" w:ascii="Times New Roman" w:hAnsi="Times New Roman" w:cs="Times New Roman"/>
                <w:b/>
                <w:bCs/>
                <w:color w:val="000000" w:themeColor="text1"/>
                <w:kern w:val="2"/>
                <w:sz w:val="18"/>
                <w:szCs w:val="18"/>
                <w14:textFill>
                  <w14:solidFill>
                    <w14:schemeClr w14:val="tx1"/>
                  </w14:solidFill>
                </w14:textFill>
              </w:rPr>
              <w:t>文化共认</w:t>
            </w:r>
          </w:p>
        </w:tc>
        <w:tc>
          <w:tcPr>
            <w:tcW w:w="1417" w:type="dxa"/>
            <w:tcBorders>
              <w:top w:val="single" w:color="auto" w:sz="4" w:space="0"/>
              <w:left w:val="single" w:color="auto" w:sz="4" w:space="0"/>
              <w:bottom w:val="single" w:color="auto" w:sz="4" w:space="0"/>
              <w:right w:val="single" w:color="auto" w:sz="4" w:space="0"/>
            </w:tcBorders>
            <w:vAlign w:val="center"/>
          </w:tcPr>
          <w:p w14:paraId="7A79482E">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创设文化</w:t>
            </w:r>
            <w:r>
              <w:rPr>
                <w:rFonts w:ascii="Times New Roman" w:hAnsi="Times New Roman" w:cs="Times New Roman"/>
                <w:kern w:val="2"/>
                <w:sz w:val="18"/>
                <w:szCs w:val="18"/>
              </w:rPr>
              <w:t>IP</w:t>
            </w:r>
          </w:p>
        </w:tc>
        <w:tc>
          <w:tcPr>
            <w:tcW w:w="6521" w:type="dxa"/>
            <w:tcBorders>
              <w:top w:val="single" w:color="auto" w:sz="4" w:space="0"/>
              <w:left w:val="single" w:color="auto" w:sz="4" w:space="0"/>
              <w:right w:val="single" w:color="auto" w:sz="4" w:space="0"/>
            </w:tcBorders>
            <w:vAlign w:val="center"/>
          </w:tcPr>
          <w:p w14:paraId="19D30679">
            <w:pPr>
              <w:pStyle w:val="6"/>
              <w:tabs>
                <w:tab w:val="center" w:pos="4201"/>
                <w:tab w:val="right" w:leader="dot" w:pos="9298"/>
              </w:tabs>
              <w:autoSpaceDE w:val="0"/>
              <w:autoSpaceDN w:val="0"/>
              <w:spacing w:before="0" w:beforeAutospacing="0" w:after="0" w:afterAutospacing="0"/>
              <w:jc w:val="both"/>
              <w:rPr>
                <w:rFonts w:ascii="Times New Roman" w:hAnsi="Times New Roman"/>
                <w:sz w:val="18"/>
                <w:szCs w:val="18"/>
              </w:rPr>
            </w:pPr>
            <w:r>
              <w:rPr>
                <w:rFonts w:hint="eastAsia" w:ascii="Times New Roman" w:hAnsi="Times New Roman"/>
                <w:sz w:val="18"/>
                <w:szCs w:val="18"/>
              </w:rPr>
              <w:t>挖掘片区历史文化、非遗文化等，打造特色鲜明的片区组团文化</w:t>
            </w:r>
            <w:r>
              <w:rPr>
                <w:rFonts w:ascii="Times New Roman" w:hAnsi="Times New Roman"/>
                <w:sz w:val="18"/>
                <w:szCs w:val="18"/>
              </w:rPr>
              <w:t>IP</w:t>
            </w:r>
            <w:r>
              <w:rPr>
                <w:rFonts w:hint="eastAsia" w:ascii="Times New Roman" w:hAnsi="Times New Roman"/>
                <w:sz w:val="18"/>
                <w:szCs w:val="18"/>
              </w:rPr>
              <w:t>，并获得广泛的认同感。</w:t>
            </w:r>
          </w:p>
        </w:tc>
      </w:tr>
      <w:tr w14:paraId="52133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jc w:val="center"/>
        </w:trPr>
        <w:tc>
          <w:tcPr>
            <w:tcW w:w="738" w:type="dxa"/>
            <w:vMerge w:val="continue"/>
            <w:tcBorders>
              <w:left w:val="single" w:color="auto" w:sz="4" w:space="0"/>
              <w:right w:val="single" w:color="auto" w:sz="4" w:space="0"/>
            </w:tcBorders>
            <w:vAlign w:val="center"/>
          </w:tcPr>
          <w:p w14:paraId="288D1F0E">
            <w:pPr>
              <w:spacing w:line="240" w:lineRule="auto"/>
              <w:jc w:val="center"/>
              <w:rPr>
                <w:rFonts w:ascii="Times New Roman" w:hAnsi="Times New Roman"/>
                <w:sz w:val="18"/>
                <w:szCs w:val="18"/>
              </w:rPr>
            </w:pPr>
          </w:p>
        </w:tc>
        <w:tc>
          <w:tcPr>
            <w:tcW w:w="709" w:type="dxa"/>
            <w:vMerge w:val="continue"/>
            <w:tcBorders>
              <w:top w:val="single" w:color="auto" w:sz="4" w:space="0"/>
              <w:left w:val="single" w:color="auto" w:sz="4" w:space="0"/>
              <w:right w:val="single" w:color="auto" w:sz="4" w:space="0"/>
            </w:tcBorders>
            <w:vAlign w:val="center"/>
          </w:tcPr>
          <w:p w14:paraId="48ED20CC">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color w:val="000000" w:themeColor="text1"/>
                <w:kern w:val="2"/>
                <w:sz w:val="18"/>
                <w:szCs w:val="18"/>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14:paraId="4C0FFB3D">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构建</w:t>
            </w:r>
            <w:r>
              <w:rPr>
                <w:rFonts w:ascii="Times New Roman" w:hAnsi="Times New Roman" w:cs="Times New Roman"/>
                <w:kern w:val="2"/>
                <w:sz w:val="18"/>
                <w:szCs w:val="18"/>
              </w:rPr>
              <w:t>IP</w:t>
            </w:r>
            <w:r>
              <w:rPr>
                <w:rFonts w:hint="eastAsia" w:ascii="Times New Roman" w:hAnsi="Times New Roman" w:cs="Times New Roman"/>
                <w:kern w:val="2"/>
                <w:sz w:val="18"/>
                <w:szCs w:val="18"/>
              </w:rPr>
              <w:t>矩阵</w:t>
            </w:r>
          </w:p>
        </w:tc>
        <w:tc>
          <w:tcPr>
            <w:tcW w:w="6521" w:type="dxa"/>
            <w:tcBorders>
              <w:top w:val="single" w:color="auto" w:sz="4" w:space="0"/>
              <w:left w:val="single" w:color="auto" w:sz="4" w:space="0"/>
              <w:right w:val="single" w:color="auto" w:sz="4" w:space="0"/>
            </w:tcBorders>
            <w:vAlign w:val="center"/>
          </w:tcPr>
          <w:p w14:paraId="1C2637CB">
            <w:pPr>
              <w:pStyle w:val="6"/>
              <w:tabs>
                <w:tab w:val="center" w:pos="4201"/>
                <w:tab w:val="right" w:leader="dot" w:pos="9298"/>
              </w:tabs>
              <w:autoSpaceDE w:val="0"/>
              <w:autoSpaceDN w:val="0"/>
              <w:spacing w:before="0" w:beforeAutospacing="0" w:after="0" w:afterAutospacing="0"/>
              <w:jc w:val="both"/>
              <w:rPr>
                <w:rFonts w:ascii="Times New Roman" w:hAnsi="Times New Roman"/>
                <w:sz w:val="18"/>
                <w:szCs w:val="18"/>
              </w:rPr>
            </w:pPr>
            <w:r>
              <w:rPr>
                <w:rFonts w:hint="eastAsia" w:ascii="Times New Roman" w:hAnsi="Times New Roman"/>
                <w:sz w:val="18"/>
                <w:szCs w:val="18"/>
              </w:rPr>
              <w:t>尊重各村庄文化的差异性，构建片区组团文化</w:t>
            </w:r>
            <w:r>
              <w:rPr>
                <w:rFonts w:ascii="Times New Roman" w:hAnsi="Times New Roman"/>
                <w:sz w:val="18"/>
                <w:szCs w:val="18"/>
              </w:rPr>
              <w:t>IP</w:t>
            </w:r>
            <w:r>
              <w:rPr>
                <w:rFonts w:hint="eastAsia" w:ascii="Times New Roman" w:hAnsi="Times New Roman"/>
                <w:sz w:val="18"/>
                <w:szCs w:val="18"/>
              </w:rPr>
              <w:t>与各村庄个性文化之间</w:t>
            </w:r>
            <w:r>
              <w:rPr>
                <w:rFonts w:ascii="Times New Roman" w:hAnsi="Times New Roman"/>
                <w:sz w:val="18"/>
                <w:szCs w:val="18"/>
              </w:rPr>
              <w:t>IP</w:t>
            </w:r>
            <w:r>
              <w:rPr>
                <w:rFonts w:hint="eastAsia" w:ascii="Times New Roman" w:hAnsi="Times New Roman"/>
                <w:sz w:val="18"/>
                <w:szCs w:val="18"/>
              </w:rPr>
              <w:t>矩阵。</w:t>
            </w:r>
          </w:p>
        </w:tc>
      </w:tr>
      <w:tr w14:paraId="546F0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738" w:type="dxa"/>
            <w:vMerge w:val="continue"/>
            <w:tcBorders>
              <w:left w:val="single" w:color="auto" w:sz="4" w:space="0"/>
              <w:right w:val="single" w:color="auto" w:sz="4" w:space="0"/>
            </w:tcBorders>
            <w:vAlign w:val="center"/>
          </w:tcPr>
          <w:p w14:paraId="46FD0CBF">
            <w:pPr>
              <w:spacing w:line="240" w:lineRule="auto"/>
              <w:jc w:val="center"/>
              <w:rPr>
                <w:rFonts w:ascii="Times New Roman" w:hAnsi="Times New Roman"/>
                <w:sz w:val="18"/>
                <w:szCs w:val="18"/>
              </w:rPr>
            </w:pPr>
          </w:p>
        </w:tc>
        <w:tc>
          <w:tcPr>
            <w:tcW w:w="709" w:type="dxa"/>
            <w:vMerge w:val="continue"/>
            <w:tcBorders>
              <w:left w:val="single" w:color="auto" w:sz="4" w:space="0"/>
              <w:right w:val="single" w:color="auto" w:sz="4" w:space="0"/>
            </w:tcBorders>
            <w:vAlign w:val="center"/>
          </w:tcPr>
          <w:p w14:paraId="74DECCC2">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color w:val="C00000"/>
                <w:kern w:val="2"/>
                <w:sz w:val="18"/>
                <w:szCs w:val="18"/>
              </w:rPr>
            </w:pPr>
          </w:p>
        </w:tc>
        <w:tc>
          <w:tcPr>
            <w:tcW w:w="1417" w:type="dxa"/>
            <w:tcBorders>
              <w:top w:val="single" w:color="auto" w:sz="4" w:space="0"/>
              <w:left w:val="single" w:color="auto" w:sz="4" w:space="0"/>
              <w:bottom w:val="single" w:color="auto" w:sz="4" w:space="0"/>
              <w:right w:val="single" w:color="auto" w:sz="4" w:space="0"/>
            </w:tcBorders>
            <w:vAlign w:val="center"/>
          </w:tcPr>
          <w:p w14:paraId="2262125C">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活化</w:t>
            </w:r>
            <w:r>
              <w:rPr>
                <w:rFonts w:ascii="Times New Roman" w:hAnsi="Times New Roman" w:cs="Times New Roman"/>
                <w:kern w:val="2"/>
                <w:sz w:val="18"/>
                <w:szCs w:val="18"/>
              </w:rPr>
              <w:t>IP</w:t>
            </w:r>
            <w:r>
              <w:rPr>
                <w:rFonts w:hint="eastAsia" w:ascii="Times New Roman" w:hAnsi="Times New Roman" w:cs="Times New Roman"/>
                <w:kern w:val="2"/>
                <w:sz w:val="18"/>
                <w:szCs w:val="18"/>
              </w:rPr>
              <w:t>场景</w:t>
            </w:r>
          </w:p>
        </w:tc>
        <w:tc>
          <w:tcPr>
            <w:tcW w:w="6521" w:type="dxa"/>
            <w:tcBorders>
              <w:top w:val="single" w:color="auto" w:sz="4" w:space="0"/>
              <w:left w:val="single" w:color="auto" w:sz="4" w:space="0"/>
              <w:right w:val="single" w:color="auto" w:sz="4" w:space="0"/>
            </w:tcBorders>
            <w:vAlign w:val="center"/>
          </w:tcPr>
          <w:p w14:paraId="27670BD8">
            <w:pPr>
              <w:snapToGrid w:val="0"/>
              <w:spacing w:line="240" w:lineRule="auto"/>
              <w:jc w:val="left"/>
              <w:rPr>
                <w:rFonts w:ascii="Times New Roman" w:hAnsi="Times New Roman"/>
                <w:sz w:val="18"/>
                <w:szCs w:val="18"/>
              </w:rPr>
            </w:pPr>
            <w:r>
              <w:rPr>
                <w:rFonts w:hint="eastAsia" w:ascii="Times New Roman" w:hAnsi="Times New Roman"/>
                <w:sz w:val="18"/>
                <w:szCs w:val="18"/>
              </w:rPr>
              <w:t>在空间、产品、服务、活动、文旅、文创、节庆等场景中广泛应用文化</w:t>
            </w:r>
            <w:r>
              <w:rPr>
                <w:rFonts w:ascii="Times New Roman" w:hAnsi="Times New Roman"/>
                <w:sz w:val="18"/>
                <w:szCs w:val="18"/>
              </w:rPr>
              <w:t>IP</w:t>
            </w:r>
            <w:r>
              <w:rPr>
                <w:rFonts w:hint="eastAsia" w:ascii="Times New Roman" w:hAnsi="Times New Roman"/>
                <w:sz w:val="18"/>
                <w:szCs w:val="18"/>
              </w:rPr>
              <w:t>。</w:t>
            </w:r>
          </w:p>
        </w:tc>
      </w:tr>
    </w:tbl>
    <w:p w14:paraId="4B4C6667">
      <w:pPr>
        <w:pStyle w:val="19"/>
        <w:numPr>
          <w:ilvl w:val="0"/>
          <w:numId w:val="0"/>
        </w:numPr>
        <w:spacing w:before="120" w:after="120"/>
        <w:rPr>
          <w:rFonts w:hint="eastAsia" w:ascii="宋体" w:hAnsi="宋体" w:eastAsia="宋体"/>
        </w:rPr>
      </w:pPr>
    </w:p>
    <w:p w14:paraId="765963D4">
      <w:pPr>
        <w:pStyle w:val="19"/>
        <w:spacing w:before="120" w:after="120"/>
      </w:pPr>
      <w:bookmarkStart w:id="60" w:name="_Toc228868565"/>
      <w:r>
        <w:rPr>
          <w:rFonts w:hint="eastAsia"/>
        </w:rPr>
        <w:t>指标分值</w:t>
      </w:r>
      <w:bookmarkEnd w:id="60"/>
    </w:p>
    <w:p w14:paraId="5E57BE77">
      <w:pPr>
        <w:pStyle w:val="22"/>
        <w:spacing w:before="120" w:after="120"/>
      </w:pPr>
      <w:r>
        <w:rPr>
          <w:rFonts w:hint="eastAsia"/>
        </w:rPr>
        <w:t>分值设置</w:t>
      </w:r>
    </w:p>
    <w:p w14:paraId="475B9FBF">
      <w:pPr>
        <w:pStyle w:val="14"/>
        <w:ind w:firstLine="420"/>
      </w:pPr>
      <w:r>
        <w:rPr>
          <w:rFonts w:hint="eastAsia"/>
        </w:rPr>
        <w:t>品牌乡村（行政村、乡镇）评价总分值设为110分，</w:t>
      </w:r>
      <w:r>
        <w:t>其中品牌基础要素</w:t>
      </w:r>
      <w:r>
        <w:rPr>
          <w:rFonts w:hint="eastAsia"/>
        </w:rPr>
        <w:t>25</w:t>
      </w:r>
      <w:r>
        <w:t>分、品牌强度要素</w:t>
      </w:r>
      <w:r>
        <w:rPr>
          <w:rFonts w:hint="eastAsia"/>
        </w:rPr>
        <w:t>35</w:t>
      </w:r>
      <w:r>
        <w:t>分、品牌贡献要素</w:t>
      </w:r>
      <w:r>
        <w:rPr>
          <w:rFonts w:hint="eastAsia"/>
        </w:rPr>
        <w:t>50</w:t>
      </w:r>
      <w:r>
        <w:t>分；各指标分值设置</w:t>
      </w:r>
      <w:r>
        <w:rPr>
          <w:rFonts w:hint="eastAsia"/>
        </w:rPr>
        <w:t>与评分细则</w:t>
      </w:r>
      <w:r>
        <w:t>见</w:t>
      </w:r>
      <w:r>
        <w:rPr>
          <w:rFonts w:hint="eastAsia"/>
        </w:rPr>
        <w:t>附录</w:t>
      </w:r>
      <w:r>
        <w:t>A</w:t>
      </w:r>
      <w:r>
        <w:rPr>
          <w:rFonts w:hint="eastAsia"/>
        </w:rPr>
        <w:t>。</w:t>
      </w:r>
    </w:p>
    <w:p w14:paraId="6732BE35">
      <w:pPr>
        <w:pStyle w:val="14"/>
        <w:ind w:firstLine="420"/>
      </w:pPr>
      <w:r>
        <w:rPr>
          <w:rFonts w:hint="eastAsia"/>
        </w:rPr>
        <w:t>品牌乡村（片区组团）</w:t>
      </w:r>
      <w:r>
        <w:t>评价总分值设为1</w:t>
      </w:r>
      <w:r>
        <w:rPr>
          <w:rFonts w:hint="eastAsia"/>
        </w:rPr>
        <w:t>6</w:t>
      </w:r>
      <w:r>
        <w:t>0分，其中品牌基础要素</w:t>
      </w:r>
      <w:r>
        <w:rPr>
          <w:rFonts w:hint="eastAsia"/>
        </w:rPr>
        <w:t>40</w:t>
      </w:r>
      <w:r>
        <w:t>分、品牌强度要素</w:t>
      </w:r>
      <w:r>
        <w:rPr>
          <w:rFonts w:hint="eastAsia"/>
        </w:rPr>
        <w:t>56</w:t>
      </w:r>
      <w:r>
        <w:t>分、品牌贡献要素</w:t>
      </w:r>
      <w:r>
        <w:rPr>
          <w:rFonts w:hint="eastAsia"/>
        </w:rPr>
        <w:t>64</w:t>
      </w:r>
      <w:r>
        <w:t>分；各指标分值设置</w:t>
      </w:r>
      <w:r>
        <w:rPr>
          <w:rFonts w:hint="eastAsia"/>
        </w:rPr>
        <w:t>与评分细则</w:t>
      </w:r>
      <w:r>
        <w:t>见</w:t>
      </w:r>
      <w:r>
        <w:rPr>
          <w:rFonts w:hint="eastAsia"/>
        </w:rPr>
        <w:t>附录</w:t>
      </w:r>
      <w:r>
        <w:t>B。</w:t>
      </w:r>
    </w:p>
    <w:p w14:paraId="20B7F56F">
      <w:pPr>
        <w:pStyle w:val="22"/>
        <w:spacing w:before="120" w:after="120"/>
      </w:pPr>
      <w:r>
        <w:rPr>
          <w:rFonts w:hint="eastAsia"/>
        </w:rPr>
        <w:t>分值计算</w:t>
      </w:r>
    </w:p>
    <w:p w14:paraId="41561767">
      <w:pPr>
        <w:pStyle w:val="14"/>
        <w:ind w:firstLine="420"/>
      </w:pPr>
      <w:r>
        <w:rPr>
          <w:rFonts w:hint="eastAsia"/>
        </w:rPr>
        <w:t>品牌乡村评</w:t>
      </w:r>
      <w:r>
        <w:t>价最终得分按各</w:t>
      </w:r>
      <w:r>
        <w:rPr>
          <w:rFonts w:hint="eastAsia"/>
        </w:rPr>
        <w:t>细分指标</w:t>
      </w:r>
      <w:r>
        <w:t>考核点实际得分进行求和计算，计算公式如下：</w:t>
      </w:r>
    </w:p>
    <w:p w14:paraId="631EB35B">
      <w:pPr>
        <w:pStyle w:val="14"/>
        <w:ind w:firstLine="420"/>
      </w:pPr>
    </w:p>
    <w:p w14:paraId="1FD50DB1">
      <w:pPr>
        <w:pStyle w:val="26"/>
        <w:rPr>
          <w:rFonts w:hAnsi="Times New Roman"/>
          <w:szCs w:val="24"/>
        </w:rPr>
      </w:pPr>
      <w:r>
        <w:rPr>
          <w:rFonts w:ascii="Times New Roman" w:hAnsi="Times New Roman"/>
        </w:rPr>
        <w:tab/>
      </w:r>
      <w:r>
        <w:rPr>
          <w:rFonts w:ascii="Times New Roman" w:hAnsi="Times New Roman"/>
        </w:rPr>
        <w:drawing>
          <wp:inline distT="0" distB="0" distL="0" distR="0">
            <wp:extent cx="710565" cy="415290"/>
            <wp:effectExtent l="0" t="0" r="13335" b="3810"/>
            <wp:docPr id="120000353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003534" name="图片 7"/>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184" cy="419485"/>
                    </a:xfrm>
                    <a:prstGeom prst="rect">
                      <a:avLst/>
                    </a:prstGeom>
                  </pic:spPr>
                </pic:pic>
              </a:graphicData>
            </a:graphic>
          </wp:inline>
        </w:drawing>
      </w:r>
      <w:r>
        <w:rPr>
          <w:rFonts w:ascii="Times New Roman" w:hAnsi="Times New Roman"/>
        </w:rPr>
        <w:tab/>
      </w:r>
      <w:r>
        <w:rPr>
          <w:rFonts w:hAnsi="Times New Roman"/>
          <w:szCs w:val="24"/>
        </w:rPr>
        <w:t>(1)</w:t>
      </w:r>
    </w:p>
    <w:p w14:paraId="4B7B0369">
      <w:pPr>
        <w:pStyle w:val="26"/>
        <w:rPr>
          <w:rFonts w:ascii="Times New Roman" w:hAnsi="Times New Roman"/>
        </w:rPr>
      </w:pPr>
      <w:r>
        <w:rPr>
          <w:rFonts w:ascii="Times New Roman" w:hAnsi="Times New Roman"/>
        </w:rPr>
        <w:t>式中：</w:t>
      </w:r>
    </w:p>
    <w:p w14:paraId="493EB141">
      <w:pPr>
        <w:pStyle w:val="26"/>
        <w:rPr>
          <w:rFonts w:ascii="Times New Roman" w:hAnsi="Times New Roman"/>
        </w:rPr>
      </w:pPr>
      <w:r>
        <w:rPr>
          <w:rFonts w:hint="eastAsia" w:hAnsi="宋体" w:cs="宋体"/>
        </w:rPr>
        <w:t>P</w:t>
      </w:r>
      <w:r>
        <w:rPr>
          <w:rFonts w:hint="eastAsia" w:hAnsi="宋体" w:cs="宋体"/>
          <w:vertAlign w:val="subscript"/>
        </w:rPr>
        <w:t>总</w:t>
      </w:r>
      <w:r>
        <w:rPr>
          <w:rFonts w:ascii="Times New Roman" w:hAnsi="Times New Roman"/>
        </w:rPr>
        <w:t>——</w:t>
      </w:r>
      <w:r>
        <w:rPr>
          <w:rFonts w:hint="eastAsia" w:hAnsi="宋体" w:cs="宋体"/>
        </w:rPr>
        <w:t>评价最终得分；</w:t>
      </w:r>
    </w:p>
    <w:p w14:paraId="0522E9DA">
      <w:pPr>
        <w:pStyle w:val="26"/>
        <w:rPr>
          <w:rFonts w:hint="eastAsia" w:hAnsi="宋体" w:cs="宋体"/>
        </w:rPr>
      </w:pPr>
      <w:r>
        <w:rPr>
          <w:rFonts w:hint="eastAsia" w:hAnsi="宋体" w:cs="宋体"/>
        </w:rPr>
        <w:t>P</w:t>
      </w:r>
      <w:r>
        <w:rPr>
          <w:rFonts w:hint="eastAsia" w:hAnsi="宋体" w:cs="宋体"/>
          <w:vertAlign w:val="subscript"/>
        </w:rPr>
        <w:t>i</w:t>
      </w:r>
      <w:r>
        <w:rPr>
          <w:rFonts w:ascii="Times New Roman" w:hAnsi="Times New Roman"/>
        </w:rPr>
        <w:t>——</w:t>
      </w:r>
      <w:r>
        <w:rPr>
          <w:rFonts w:hint="eastAsia" w:hAnsi="宋体" w:cs="宋体"/>
        </w:rPr>
        <w:t>第i项考核点得分。</w:t>
      </w:r>
    </w:p>
    <w:p w14:paraId="7DC7C2BE">
      <w:pPr>
        <w:pStyle w:val="26"/>
        <w:ind w:firstLine="0" w:firstLineChars="0"/>
        <w:rPr>
          <w:rFonts w:hint="eastAsia" w:hAnsi="宋体" w:cs="宋体"/>
        </w:rPr>
      </w:pPr>
    </w:p>
    <w:p w14:paraId="38D7F8B5">
      <w:pPr>
        <w:pStyle w:val="22"/>
        <w:spacing w:before="120" w:after="120"/>
      </w:pPr>
      <w:r>
        <w:rPr>
          <w:rFonts w:hint="eastAsia"/>
        </w:rPr>
        <w:t>品牌星级</w:t>
      </w:r>
    </w:p>
    <w:p w14:paraId="0052EDE9">
      <w:pPr>
        <w:pStyle w:val="26"/>
      </w:pPr>
      <w:r>
        <w:rPr>
          <w:rFonts w:hint="eastAsia"/>
        </w:rPr>
        <w:t>根据品牌乡村评价最终得分，按如下表3认定品牌乡村星级，共分为三个类别：3星、4星、5星。</w:t>
      </w:r>
    </w:p>
    <w:p w14:paraId="1CABD77B">
      <w:pPr>
        <w:pStyle w:val="26"/>
        <w:ind w:firstLine="0" w:firstLineChars="0"/>
        <w:jc w:val="center"/>
        <w:rPr>
          <w:rFonts w:ascii="黑体" w:hAnsi="Times New Roman" w:eastAsia="黑体"/>
          <w:szCs w:val="24"/>
        </w:rPr>
      </w:pPr>
      <w:r>
        <w:rPr>
          <w:rFonts w:hint="eastAsia" w:ascii="黑体" w:hAnsi="Times New Roman" w:eastAsia="黑体"/>
          <w:szCs w:val="24"/>
        </w:rPr>
        <w:t>表3  品牌乡村评价星级划分</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8"/>
        <w:gridCol w:w="3753"/>
        <w:gridCol w:w="3753"/>
      </w:tblGrid>
      <w:tr w14:paraId="41381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09961D40">
            <w:pPr>
              <w:pStyle w:val="26"/>
              <w:ind w:firstLine="0" w:firstLineChars="0"/>
              <w:jc w:val="center"/>
              <w:rPr>
                <w:rFonts w:ascii="黑体" w:hAnsi="Times New Roman" w:eastAsia="黑体"/>
                <w:szCs w:val="24"/>
              </w:rPr>
            </w:pPr>
            <w:r>
              <w:rPr>
                <w:rFonts w:hint="eastAsia" w:ascii="黑体" w:hAnsi="Times New Roman" w:eastAsia="黑体"/>
                <w:szCs w:val="24"/>
              </w:rPr>
              <w:t>星级</w:t>
            </w:r>
          </w:p>
        </w:tc>
        <w:tc>
          <w:tcPr>
            <w:tcW w:w="3753" w:type="dxa"/>
            <w:vAlign w:val="center"/>
          </w:tcPr>
          <w:p w14:paraId="4A7113FA">
            <w:pPr>
              <w:pStyle w:val="26"/>
              <w:ind w:firstLine="0" w:firstLineChars="0"/>
              <w:jc w:val="center"/>
              <w:rPr>
                <w:rFonts w:ascii="黑体" w:hAnsi="Times New Roman" w:eastAsia="黑体"/>
                <w:szCs w:val="24"/>
              </w:rPr>
            </w:pPr>
            <w:r>
              <w:rPr>
                <w:rFonts w:hint="eastAsia" w:ascii="黑体" w:hAnsi="Times New Roman" w:eastAsia="黑体"/>
                <w:szCs w:val="24"/>
              </w:rPr>
              <w:t>评价得分</w:t>
            </w:r>
          </w:p>
          <w:p w14:paraId="1F1C8076">
            <w:pPr>
              <w:pStyle w:val="26"/>
              <w:ind w:firstLine="0" w:firstLineChars="0"/>
              <w:jc w:val="center"/>
              <w:rPr>
                <w:rFonts w:hint="eastAsia" w:hAnsi="宋体"/>
                <w:szCs w:val="24"/>
              </w:rPr>
            </w:pPr>
            <w:r>
              <w:rPr>
                <w:rFonts w:hint="eastAsia" w:hAnsi="宋体"/>
                <w:szCs w:val="24"/>
              </w:rPr>
              <w:t>（行政村、乡镇）</w:t>
            </w:r>
          </w:p>
        </w:tc>
        <w:tc>
          <w:tcPr>
            <w:tcW w:w="3753" w:type="dxa"/>
            <w:vAlign w:val="center"/>
          </w:tcPr>
          <w:p w14:paraId="7C28CF20">
            <w:pPr>
              <w:pStyle w:val="26"/>
              <w:ind w:firstLine="0" w:firstLineChars="0"/>
              <w:jc w:val="center"/>
              <w:rPr>
                <w:rFonts w:ascii="黑体" w:hAnsi="Times New Roman" w:eastAsia="黑体"/>
                <w:szCs w:val="24"/>
              </w:rPr>
            </w:pPr>
            <w:r>
              <w:rPr>
                <w:rFonts w:hint="eastAsia" w:ascii="黑体" w:hAnsi="Times New Roman" w:eastAsia="黑体"/>
                <w:szCs w:val="24"/>
              </w:rPr>
              <w:t>评价得分</w:t>
            </w:r>
          </w:p>
          <w:p w14:paraId="5EECE5C8">
            <w:pPr>
              <w:pStyle w:val="26"/>
              <w:ind w:firstLine="0" w:firstLineChars="0"/>
              <w:jc w:val="center"/>
              <w:rPr>
                <w:rFonts w:hint="eastAsia" w:hAnsi="宋体"/>
                <w:szCs w:val="24"/>
              </w:rPr>
            </w:pPr>
            <w:r>
              <w:rPr>
                <w:rFonts w:hint="eastAsia" w:hAnsi="宋体"/>
                <w:szCs w:val="24"/>
              </w:rPr>
              <w:t>（片区组团）</w:t>
            </w:r>
          </w:p>
        </w:tc>
      </w:tr>
      <w:tr w14:paraId="6A87B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2026CB91">
            <w:pPr>
              <w:pStyle w:val="26"/>
              <w:ind w:firstLine="0" w:firstLineChars="0"/>
              <w:jc w:val="center"/>
              <w:rPr>
                <w:rFonts w:ascii="黑体" w:hAnsi="Times New Roman" w:eastAsia="黑体"/>
                <w:szCs w:val="24"/>
              </w:rPr>
            </w:pPr>
            <w:r>
              <w:rPr>
                <w:rFonts w:hint="eastAsia" w:ascii="黑体" w:hAnsi="Times New Roman" w:eastAsia="黑体"/>
                <w:szCs w:val="24"/>
              </w:rPr>
              <w:t>5星</w:t>
            </w:r>
          </w:p>
        </w:tc>
        <w:tc>
          <w:tcPr>
            <w:tcW w:w="3753" w:type="dxa"/>
            <w:vAlign w:val="center"/>
          </w:tcPr>
          <w:p w14:paraId="7258FB91">
            <w:pPr>
              <w:pStyle w:val="26"/>
              <w:ind w:firstLine="0" w:firstLineChars="0"/>
              <w:jc w:val="center"/>
              <w:rPr>
                <w:rFonts w:hAnsi="Times New Roman"/>
                <w:szCs w:val="24"/>
              </w:rPr>
            </w:pPr>
            <w:r>
              <w:rPr>
                <w:rFonts w:hint="eastAsia" w:hAnsi="Times New Roman"/>
                <w:szCs w:val="24"/>
              </w:rPr>
              <w:t>93.5分</w:t>
            </w:r>
            <w:r>
              <w:rPr>
                <w:rFonts w:hAnsi="Times New Roman"/>
                <w:szCs w:val="24"/>
              </w:rPr>
              <w:t xml:space="preserve"> </w:t>
            </w:r>
            <w:r>
              <w:rPr>
                <w:rFonts w:ascii="黑体" w:hAnsi="Times New Roman" w:eastAsia="黑体"/>
                <w:szCs w:val="24"/>
              </w:rPr>
              <w:t xml:space="preserve">≤ </w:t>
            </w:r>
            <w:r>
              <w:rPr>
                <w:rFonts w:hint="eastAsia" w:hAnsi="宋体" w:cs="宋体"/>
              </w:rPr>
              <w:t>P</w:t>
            </w:r>
            <w:r>
              <w:rPr>
                <w:rFonts w:hint="eastAsia" w:hAnsi="宋体" w:cs="宋体"/>
                <w:vertAlign w:val="subscript"/>
              </w:rPr>
              <w:t>总</w:t>
            </w:r>
            <w:r>
              <w:rPr>
                <w:rFonts w:hAnsi="宋体" w:cs="宋体"/>
                <w:vertAlign w:val="subscript"/>
              </w:rPr>
              <w:t xml:space="preserve"> </w:t>
            </w:r>
            <w:r>
              <w:rPr>
                <w:rFonts w:ascii="黑体" w:hAnsi="Times New Roman" w:eastAsia="黑体"/>
                <w:szCs w:val="24"/>
              </w:rPr>
              <w:t xml:space="preserve">≤ </w:t>
            </w:r>
            <w:r>
              <w:rPr>
                <w:rFonts w:hAnsi="Times New Roman" w:eastAsia="黑体"/>
                <w:szCs w:val="24"/>
              </w:rPr>
              <w:t>1</w:t>
            </w:r>
            <w:r>
              <w:rPr>
                <w:rFonts w:hint="eastAsia" w:hAnsi="Times New Roman" w:eastAsia="黑体"/>
                <w:szCs w:val="24"/>
              </w:rPr>
              <w:t>10</w:t>
            </w:r>
            <w:r>
              <w:rPr>
                <w:rFonts w:hint="eastAsia" w:hAnsi="Times New Roman"/>
                <w:szCs w:val="24"/>
              </w:rPr>
              <w:t>分</w:t>
            </w:r>
          </w:p>
        </w:tc>
        <w:tc>
          <w:tcPr>
            <w:tcW w:w="3753" w:type="dxa"/>
            <w:vAlign w:val="center"/>
          </w:tcPr>
          <w:p w14:paraId="0B5C2F1A">
            <w:pPr>
              <w:pStyle w:val="26"/>
              <w:ind w:firstLine="0" w:firstLineChars="0"/>
              <w:jc w:val="center"/>
              <w:rPr>
                <w:rFonts w:ascii="黑体" w:hAnsi="Times New Roman" w:eastAsia="黑体"/>
                <w:szCs w:val="24"/>
              </w:rPr>
            </w:pPr>
            <w:r>
              <w:rPr>
                <w:rFonts w:hint="eastAsia" w:hAnsi="Times New Roman"/>
                <w:szCs w:val="24"/>
              </w:rPr>
              <w:t>136分</w:t>
            </w:r>
            <w:r>
              <w:rPr>
                <w:rFonts w:hAnsi="Times New Roman"/>
                <w:szCs w:val="24"/>
              </w:rPr>
              <w:t xml:space="preserve"> </w:t>
            </w:r>
            <w:r>
              <w:rPr>
                <w:rFonts w:ascii="黑体" w:hAnsi="Times New Roman" w:eastAsia="黑体"/>
                <w:szCs w:val="24"/>
              </w:rPr>
              <w:t xml:space="preserve">≤ </w:t>
            </w:r>
            <w:r>
              <w:rPr>
                <w:rFonts w:hint="eastAsia" w:hAnsi="宋体" w:cs="宋体"/>
              </w:rPr>
              <w:t>P</w:t>
            </w:r>
            <w:r>
              <w:rPr>
                <w:rFonts w:hint="eastAsia" w:hAnsi="宋体" w:cs="宋体"/>
                <w:vertAlign w:val="subscript"/>
              </w:rPr>
              <w:t>总</w:t>
            </w:r>
            <w:r>
              <w:rPr>
                <w:rFonts w:hAnsi="宋体" w:cs="宋体"/>
                <w:vertAlign w:val="subscript"/>
              </w:rPr>
              <w:t xml:space="preserve"> </w:t>
            </w:r>
            <w:r>
              <w:rPr>
                <w:rFonts w:ascii="黑体" w:hAnsi="Times New Roman" w:eastAsia="黑体"/>
                <w:szCs w:val="24"/>
              </w:rPr>
              <w:t xml:space="preserve">≤ </w:t>
            </w:r>
            <w:r>
              <w:rPr>
                <w:rFonts w:hAnsi="Times New Roman" w:eastAsia="黑体"/>
                <w:szCs w:val="24"/>
              </w:rPr>
              <w:t>160</w:t>
            </w:r>
            <w:r>
              <w:rPr>
                <w:rFonts w:hint="eastAsia" w:hAnsi="Times New Roman"/>
                <w:szCs w:val="24"/>
              </w:rPr>
              <w:t>分</w:t>
            </w:r>
          </w:p>
        </w:tc>
      </w:tr>
      <w:tr w14:paraId="0975B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74C98CA6">
            <w:pPr>
              <w:pStyle w:val="26"/>
              <w:ind w:firstLine="0" w:firstLineChars="0"/>
              <w:jc w:val="center"/>
              <w:rPr>
                <w:rFonts w:ascii="黑体" w:hAnsi="Times New Roman" w:eastAsia="黑体"/>
                <w:szCs w:val="24"/>
              </w:rPr>
            </w:pPr>
            <w:r>
              <w:rPr>
                <w:rFonts w:hint="eastAsia" w:ascii="黑体" w:hAnsi="Times New Roman" w:eastAsia="黑体"/>
                <w:szCs w:val="24"/>
              </w:rPr>
              <w:t>4星</w:t>
            </w:r>
          </w:p>
        </w:tc>
        <w:tc>
          <w:tcPr>
            <w:tcW w:w="3753" w:type="dxa"/>
            <w:vAlign w:val="center"/>
          </w:tcPr>
          <w:p w14:paraId="58D419AE">
            <w:pPr>
              <w:pStyle w:val="26"/>
              <w:ind w:firstLine="0" w:firstLineChars="0"/>
              <w:jc w:val="center"/>
              <w:rPr>
                <w:rFonts w:hAnsi="Times New Roman"/>
                <w:szCs w:val="24"/>
              </w:rPr>
            </w:pPr>
            <w:r>
              <w:rPr>
                <w:rFonts w:hint="eastAsia" w:hAnsi="Times New Roman"/>
                <w:szCs w:val="24"/>
              </w:rPr>
              <w:t xml:space="preserve">77分 </w:t>
            </w:r>
            <w:r>
              <w:rPr>
                <w:rFonts w:ascii="黑体" w:hAnsi="Times New Roman" w:eastAsia="黑体"/>
                <w:szCs w:val="24"/>
              </w:rPr>
              <w:t>≤</w:t>
            </w:r>
            <w:r>
              <w:rPr>
                <w:rFonts w:hint="eastAsia" w:ascii="黑体" w:hAnsi="Times New Roman" w:eastAsia="黑体"/>
                <w:szCs w:val="24"/>
              </w:rPr>
              <w:t xml:space="preserve"> </w:t>
            </w:r>
            <w:r>
              <w:rPr>
                <w:rFonts w:hint="eastAsia" w:hAnsi="宋体" w:cs="宋体"/>
              </w:rPr>
              <w:t>P</w:t>
            </w:r>
            <w:r>
              <w:rPr>
                <w:rFonts w:hint="eastAsia" w:hAnsi="宋体" w:cs="宋体"/>
                <w:vertAlign w:val="subscript"/>
              </w:rPr>
              <w:t xml:space="preserve">总 </w:t>
            </w:r>
            <w:r>
              <w:rPr>
                <w:rFonts w:ascii="黑体" w:hAnsi="Times New Roman" w:eastAsia="黑体"/>
                <w:szCs w:val="24"/>
              </w:rPr>
              <w:t>&lt;</w:t>
            </w:r>
            <w:r>
              <w:rPr>
                <w:rFonts w:hint="eastAsia" w:ascii="黑体" w:hAnsi="Times New Roman" w:eastAsia="黑体"/>
                <w:szCs w:val="24"/>
              </w:rPr>
              <w:t xml:space="preserve"> </w:t>
            </w:r>
            <w:r>
              <w:rPr>
                <w:rFonts w:hint="eastAsia" w:hAnsi="Times New Roman" w:eastAsia="黑体"/>
                <w:szCs w:val="24"/>
              </w:rPr>
              <w:t>93.5</w:t>
            </w:r>
            <w:r>
              <w:rPr>
                <w:rFonts w:hint="eastAsia" w:hAnsi="Times New Roman"/>
                <w:szCs w:val="24"/>
              </w:rPr>
              <w:t>分</w:t>
            </w:r>
          </w:p>
        </w:tc>
        <w:tc>
          <w:tcPr>
            <w:tcW w:w="3753" w:type="dxa"/>
            <w:vAlign w:val="center"/>
          </w:tcPr>
          <w:p w14:paraId="7325BAA2">
            <w:pPr>
              <w:pStyle w:val="26"/>
              <w:ind w:firstLine="0" w:firstLineChars="0"/>
              <w:jc w:val="center"/>
              <w:rPr>
                <w:rFonts w:ascii="黑体" w:hAnsi="Times New Roman" w:eastAsia="黑体"/>
                <w:szCs w:val="24"/>
              </w:rPr>
            </w:pPr>
            <w:r>
              <w:rPr>
                <w:rFonts w:hint="eastAsia" w:hAnsi="Times New Roman"/>
                <w:szCs w:val="24"/>
              </w:rPr>
              <w:t xml:space="preserve">112分 </w:t>
            </w:r>
            <w:r>
              <w:rPr>
                <w:rFonts w:ascii="黑体" w:hAnsi="Times New Roman" w:eastAsia="黑体"/>
                <w:szCs w:val="24"/>
              </w:rPr>
              <w:t>≤</w:t>
            </w:r>
            <w:r>
              <w:rPr>
                <w:rFonts w:hint="eastAsia" w:ascii="黑体" w:hAnsi="Times New Roman" w:eastAsia="黑体"/>
                <w:szCs w:val="24"/>
              </w:rPr>
              <w:t xml:space="preserve"> </w:t>
            </w:r>
            <w:r>
              <w:rPr>
                <w:rFonts w:hint="eastAsia" w:hAnsi="宋体" w:cs="宋体"/>
              </w:rPr>
              <w:t>P</w:t>
            </w:r>
            <w:r>
              <w:rPr>
                <w:rFonts w:hint="eastAsia" w:hAnsi="宋体" w:cs="宋体"/>
                <w:vertAlign w:val="subscript"/>
              </w:rPr>
              <w:t xml:space="preserve">总 </w:t>
            </w:r>
            <w:r>
              <w:rPr>
                <w:rFonts w:ascii="黑体" w:hAnsi="Times New Roman" w:eastAsia="黑体"/>
                <w:szCs w:val="24"/>
              </w:rPr>
              <w:t>&lt;</w:t>
            </w:r>
            <w:r>
              <w:rPr>
                <w:rFonts w:hint="eastAsia" w:ascii="黑体" w:hAnsi="Times New Roman" w:eastAsia="黑体"/>
                <w:szCs w:val="24"/>
              </w:rPr>
              <w:t xml:space="preserve"> </w:t>
            </w:r>
            <w:r>
              <w:rPr>
                <w:rFonts w:hint="eastAsia" w:hAnsi="Times New Roman"/>
                <w:szCs w:val="24"/>
              </w:rPr>
              <w:t>136分</w:t>
            </w:r>
          </w:p>
        </w:tc>
      </w:tr>
      <w:tr w14:paraId="1ACCE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04BF31C2">
            <w:pPr>
              <w:pStyle w:val="26"/>
              <w:ind w:firstLine="0" w:firstLineChars="0"/>
              <w:jc w:val="center"/>
              <w:rPr>
                <w:rFonts w:ascii="黑体" w:hAnsi="Times New Roman" w:eastAsia="黑体"/>
                <w:szCs w:val="24"/>
              </w:rPr>
            </w:pPr>
            <w:r>
              <w:rPr>
                <w:rFonts w:hint="eastAsia" w:ascii="黑体" w:hAnsi="Times New Roman" w:eastAsia="黑体"/>
                <w:szCs w:val="24"/>
              </w:rPr>
              <w:t>3星</w:t>
            </w:r>
          </w:p>
        </w:tc>
        <w:tc>
          <w:tcPr>
            <w:tcW w:w="3753" w:type="dxa"/>
            <w:vAlign w:val="center"/>
          </w:tcPr>
          <w:p w14:paraId="3BA55B29">
            <w:pPr>
              <w:pStyle w:val="26"/>
              <w:ind w:firstLine="0" w:firstLineChars="0"/>
              <w:jc w:val="center"/>
              <w:rPr>
                <w:rFonts w:hAnsi="Times New Roman"/>
                <w:szCs w:val="24"/>
              </w:rPr>
            </w:pPr>
            <w:r>
              <w:rPr>
                <w:rFonts w:hint="eastAsia" w:hAnsi="Times New Roman"/>
                <w:szCs w:val="24"/>
              </w:rPr>
              <w:t xml:space="preserve"> 66分 </w:t>
            </w:r>
            <w:r>
              <w:rPr>
                <w:rFonts w:ascii="黑体" w:hAnsi="Times New Roman" w:eastAsia="黑体"/>
                <w:szCs w:val="24"/>
              </w:rPr>
              <w:t>≤</w:t>
            </w:r>
            <w:r>
              <w:rPr>
                <w:rFonts w:hint="eastAsia" w:ascii="黑体" w:hAnsi="Times New Roman" w:eastAsia="黑体"/>
                <w:szCs w:val="24"/>
              </w:rPr>
              <w:t xml:space="preserve"> </w:t>
            </w:r>
            <w:r>
              <w:rPr>
                <w:rFonts w:hint="eastAsia" w:hAnsi="宋体" w:cs="宋体"/>
              </w:rPr>
              <w:t>P</w:t>
            </w:r>
            <w:r>
              <w:rPr>
                <w:rFonts w:hint="eastAsia" w:hAnsi="宋体" w:cs="宋体"/>
                <w:vertAlign w:val="subscript"/>
              </w:rPr>
              <w:t xml:space="preserve">总 </w:t>
            </w:r>
            <w:r>
              <w:rPr>
                <w:rFonts w:ascii="黑体" w:hAnsi="Times New Roman" w:eastAsia="黑体"/>
                <w:szCs w:val="24"/>
              </w:rPr>
              <w:t>&lt;</w:t>
            </w:r>
            <w:r>
              <w:rPr>
                <w:rFonts w:hint="eastAsia" w:ascii="黑体" w:hAnsi="Times New Roman" w:eastAsia="黑体"/>
                <w:szCs w:val="24"/>
              </w:rPr>
              <w:t xml:space="preserve"> </w:t>
            </w:r>
            <w:r>
              <w:rPr>
                <w:rFonts w:hint="eastAsia" w:hAnsi="Times New Roman" w:eastAsia="黑体"/>
                <w:szCs w:val="24"/>
              </w:rPr>
              <w:t>77</w:t>
            </w:r>
            <w:r>
              <w:rPr>
                <w:rFonts w:hint="eastAsia" w:hAnsi="Times New Roman"/>
                <w:szCs w:val="24"/>
              </w:rPr>
              <w:t>分</w:t>
            </w:r>
          </w:p>
        </w:tc>
        <w:tc>
          <w:tcPr>
            <w:tcW w:w="3753" w:type="dxa"/>
            <w:vAlign w:val="center"/>
          </w:tcPr>
          <w:p w14:paraId="35E484F1">
            <w:pPr>
              <w:pStyle w:val="26"/>
              <w:ind w:firstLine="0" w:firstLineChars="0"/>
              <w:jc w:val="center"/>
              <w:rPr>
                <w:rFonts w:ascii="黑体" w:hAnsi="Times New Roman" w:eastAsia="黑体"/>
                <w:szCs w:val="24"/>
              </w:rPr>
            </w:pPr>
            <w:r>
              <w:rPr>
                <w:rFonts w:hint="eastAsia" w:hAnsi="Times New Roman"/>
                <w:szCs w:val="24"/>
              </w:rPr>
              <w:t xml:space="preserve"> 96分 </w:t>
            </w:r>
            <w:r>
              <w:rPr>
                <w:rFonts w:ascii="黑体" w:hAnsi="Times New Roman" w:eastAsia="黑体"/>
                <w:szCs w:val="24"/>
              </w:rPr>
              <w:t>≤</w:t>
            </w:r>
            <w:r>
              <w:rPr>
                <w:rFonts w:hint="eastAsia" w:ascii="黑体" w:hAnsi="Times New Roman" w:eastAsia="黑体"/>
                <w:szCs w:val="24"/>
              </w:rPr>
              <w:t xml:space="preserve"> </w:t>
            </w:r>
            <w:r>
              <w:rPr>
                <w:rFonts w:hint="eastAsia" w:hAnsi="宋体" w:cs="宋体"/>
              </w:rPr>
              <w:t>P</w:t>
            </w:r>
            <w:r>
              <w:rPr>
                <w:rFonts w:hint="eastAsia" w:hAnsi="宋体" w:cs="宋体"/>
                <w:vertAlign w:val="subscript"/>
              </w:rPr>
              <w:t xml:space="preserve">总 </w:t>
            </w:r>
            <w:r>
              <w:rPr>
                <w:rFonts w:ascii="黑体" w:hAnsi="Times New Roman" w:eastAsia="黑体"/>
                <w:szCs w:val="24"/>
              </w:rPr>
              <w:t>&lt;</w:t>
            </w:r>
            <w:r>
              <w:rPr>
                <w:rFonts w:hint="eastAsia" w:ascii="黑体" w:hAnsi="Times New Roman" w:eastAsia="黑体"/>
                <w:szCs w:val="24"/>
              </w:rPr>
              <w:t xml:space="preserve"> </w:t>
            </w:r>
            <w:r>
              <w:rPr>
                <w:rFonts w:hint="eastAsia" w:hAnsi="Times New Roman" w:eastAsia="黑体"/>
                <w:szCs w:val="24"/>
              </w:rPr>
              <w:t>112</w:t>
            </w:r>
            <w:r>
              <w:rPr>
                <w:rFonts w:hint="eastAsia" w:hAnsi="Times New Roman"/>
                <w:szCs w:val="24"/>
              </w:rPr>
              <w:t>分</w:t>
            </w:r>
          </w:p>
        </w:tc>
      </w:tr>
    </w:tbl>
    <w:p w14:paraId="2D1AE462">
      <w:pPr>
        <w:pStyle w:val="26"/>
        <w:ind w:firstLine="0" w:firstLineChars="0"/>
      </w:pPr>
    </w:p>
    <w:p w14:paraId="2771FE81">
      <w:pPr>
        <w:pStyle w:val="16"/>
        <w:spacing w:before="240" w:after="240"/>
      </w:pPr>
      <w:bookmarkStart w:id="61" w:name="_Toc228868566"/>
      <w:r>
        <w:t>评价</w:t>
      </w:r>
      <w:r>
        <w:rPr>
          <w:rFonts w:hint="eastAsia"/>
        </w:rPr>
        <w:t>专家智库</w:t>
      </w:r>
      <w:bookmarkEnd w:id="61"/>
    </w:p>
    <w:p w14:paraId="5B3D5814">
      <w:pPr>
        <w:pStyle w:val="19"/>
        <w:numPr>
          <w:ilvl w:val="0"/>
          <w:numId w:val="0"/>
        </w:numPr>
        <w:spacing w:before="120" w:after="120"/>
      </w:pPr>
      <w:bookmarkStart w:id="62" w:name="_Toc228868567"/>
      <w:r>
        <w:t xml:space="preserve">7.1.1  </w:t>
      </w:r>
      <w:r>
        <w:rPr>
          <w:rFonts w:hint="eastAsia"/>
        </w:rPr>
        <w:t>专家构成</w:t>
      </w:r>
      <w:bookmarkEnd w:id="62"/>
    </w:p>
    <w:p w14:paraId="5446CC1F">
      <w:pPr>
        <w:pStyle w:val="23"/>
        <w:numPr>
          <w:ilvl w:val="0"/>
          <w:numId w:val="0"/>
        </w:numPr>
        <w:ind w:firstLine="420" w:firstLineChars="200"/>
      </w:pPr>
      <w:r>
        <w:t>根据</w:t>
      </w:r>
      <w:r>
        <w:rPr>
          <w:rFonts w:hint="eastAsia"/>
        </w:rPr>
        <w:t>品牌乡村</w:t>
      </w:r>
      <w:r>
        <w:t>评价</w:t>
      </w:r>
      <w:r>
        <w:rPr>
          <w:rFonts w:hint="eastAsia"/>
        </w:rPr>
        <w:t>工作需求</w:t>
      </w:r>
      <w:r>
        <w:t>，</w:t>
      </w:r>
      <w:r>
        <w:rPr>
          <w:rFonts w:hint="eastAsia"/>
        </w:rPr>
        <w:t>中国乡村发展协会组建评价专家智库；智库专家来源应具有权威性、专业性、代表性；各地方理事单位自行决定是否成立地方性专家智库。</w:t>
      </w:r>
    </w:p>
    <w:p w14:paraId="7D2F5BFC">
      <w:pPr>
        <w:pStyle w:val="19"/>
        <w:numPr>
          <w:ilvl w:val="0"/>
          <w:numId w:val="0"/>
        </w:numPr>
        <w:spacing w:before="120" w:after="120"/>
      </w:pPr>
      <w:bookmarkStart w:id="63" w:name="_Toc228868568"/>
      <w:r>
        <w:t>7.1.</w:t>
      </w:r>
      <w:r>
        <w:rPr>
          <w:rFonts w:hint="eastAsia"/>
        </w:rPr>
        <w:t>2</w:t>
      </w:r>
      <w:r>
        <w:t xml:space="preserve">  </w:t>
      </w:r>
      <w:r>
        <w:rPr>
          <w:rFonts w:hint="eastAsia"/>
        </w:rPr>
        <w:t>专家职责</w:t>
      </w:r>
      <w:bookmarkEnd w:id="63"/>
    </w:p>
    <w:p w14:paraId="12BBA152">
      <w:pPr>
        <w:pStyle w:val="21"/>
      </w:pPr>
      <w:r>
        <w:rPr>
          <w:rFonts w:hint="eastAsia"/>
        </w:rPr>
        <w:t>遵循品牌乡村</w:t>
      </w:r>
      <w:r>
        <w:t>评价</w:t>
      </w:r>
      <w:r>
        <w:rPr>
          <w:rFonts w:hint="eastAsia"/>
        </w:rPr>
        <w:t>指标</w:t>
      </w:r>
      <w:r>
        <w:t>，在规定时间内完成评价任务；</w:t>
      </w:r>
    </w:p>
    <w:p w14:paraId="43287EB0">
      <w:pPr>
        <w:pStyle w:val="21"/>
      </w:pPr>
      <w:r>
        <w:t>遵守法律法规</w:t>
      </w:r>
      <w:r>
        <w:rPr>
          <w:rFonts w:hint="eastAsia"/>
        </w:rPr>
        <w:t>，</w:t>
      </w:r>
      <w:r>
        <w:t>客观公正地开展评价工作</w:t>
      </w:r>
      <w:r>
        <w:rPr>
          <w:rFonts w:hint="eastAsia"/>
        </w:rPr>
        <w:t>；</w:t>
      </w:r>
    </w:p>
    <w:p w14:paraId="42C34958">
      <w:pPr>
        <w:pStyle w:val="21"/>
      </w:pPr>
      <w:r>
        <w:rPr>
          <w:rFonts w:hint="eastAsia"/>
        </w:rPr>
        <w:t>遵照职业伦理，保守评价对象的知识产权和商业信息</w:t>
      </w:r>
      <w:r>
        <w:t>。</w:t>
      </w:r>
    </w:p>
    <w:p w14:paraId="2E2102CE">
      <w:pPr>
        <w:pStyle w:val="16"/>
        <w:spacing w:before="240" w:after="240"/>
      </w:pPr>
      <w:bookmarkStart w:id="64" w:name="_Toc228868569"/>
      <w:r>
        <w:t>评价结论</w:t>
      </w:r>
      <w:bookmarkEnd w:id="64"/>
    </w:p>
    <w:p w14:paraId="530BC2AA">
      <w:pPr>
        <w:pStyle w:val="18"/>
        <w:numPr>
          <w:ilvl w:val="0"/>
          <w:numId w:val="0"/>
        </w:numPr>
        <w:ind w:firstLine="420" w:firstLineChars="200"/>
      </w:pPr>
      <w:r>
        <w:rPr>
          <w:rFonts w:hint="eastAsia"/>
        </w:rPr>
        <w:t>品牌乡村评价工作结束时，评价专家填写相关记录和《品牌乡村评价结论表》（见附录</w:t>
      </w:r>
      <w:r>
        <w:t>B</w:t>
      </w:r>
      <w:r>
        <w:rPr>
          <w:rFonts w:hint="eastAsia"/>
        </w:rPr>
        <w:t>）；记录信息应真实、完整、全面、公正；评价人员应签名并对结论负责。</w:t>
      </w:r>
    </w:p>
    <w:p w14:paraId="4904E130">
      <w:pPr>
        <w:pStyle w:val="18"/>
        <w:numPr>
          <w:ilvl w:val="0"/>
          <w:numId w:val="0"/>
        </w:numPr>
        <w:rPr>
          <w:rFonts w:hint="eastAsia" w:ascii="黑体" w:hAnsi="黑体" w:eastAsia="黑体" w:cs="黑体"/>
        </w:rPr>
        <w:sectPr>
          <w:pgSz w:w="11906" w:h="16838"/>
          <w:pgMar w:top="1928" w:right="1134" w:bottom="1134" w:left="1134" w:header="1418" w:footer="1134" w:gutter="284"/>
          <w:pgNumType w:start="1"/>
          <w:cols w:space="425" w:num="1"/>
          <w:formProt w:val="0"/>
          <w:docGrid w:linePitch="312" w:charSpace="0"/>
        </w:sectPr>
      </w:pPr>
    </w:p>
    <w:bookmarkEnd w:id="14"/>
    <w:p w14:paraId="5B3FDA7C">
      <w:pPr>
        <w:pStyle w:val="27"/>
        <w:rPr>
          <w:rFonts w:hint="eastAsia"/>
          <w:vanish w:val="0"/>
        </w:rPr>
      </w:pPr>
      <w:bookmarkStart w:id="65" w:name="BookMark5"/>
    </w:p>
    <w:p w14:paraId="3BAD9E0A">
      <w:pPr>
        <w:pStyle w:val="28"/>
        <w:rPr>
          <w:vanish w:val="0"/>
        </w:rPr>
      </w:pPr>
    </w:p>
    <w:p w14:paraId="0E94BB0E">
      <w:pPr>
        <w:pStyle w:val="29"/>
        <w:spacing w:after="120"/>
      </w:pPr>
      <w:bookmarkStart w:id="66" w:name="_Toc228868570"/>
      <w:r>
        <w:rPr>
          <w:rFonts w:hint="eastAsia"/>
        </w:rPr>
        <w:t>品牌乡村评分细则</w:t>
      </w:r>
      <w:bookmarkEnd w:id="66"/>
    </w:p>
    <w:p w14:paraId="6DE33BFC">
      <w:pPr>
        <w:pStyle w:val="30"/>
        <w:numPr>
          <w:ilvl w:val="0"/>
          <w:numId w:val="0"/>
        </w:numPr>
        <w:spacing w:before="120" w:after="120"/>
        <w:rPr>
          <w:rFonts w:hint="eastAsia" w:hAnsi="黑体" w:cs="黑体"/>
          <w:szCs w:val="21"/>
        </w:rPr>
      </w:pPr>
      <w:bookmarkStart w:id="67" w:name="_Toc109462134"/>
      <w:bookmarkStart w:id="68" w:name="_Toc228868571"/>
      <w:r>
        <w:rPr>
          <w:rFonts w:hAnsi="黑体" w:cs="黑体"/>
          <w:szCs w:val="21"/>
        </w:rPr>
        <w:t>A.1</w:t>
      </w:r>
      <w:r>
        <w:rPr>
          <w:rFonts w:hint="eastAsia" w:hAnsi="黑体" w:cs="黑体"/>
          <w:szCs w:val="21"/>
        </w:rPr>
        <w:t>品牌乡村（行政村、乡镇）</w:t>
      </w:r>
      <w:bookmarkEnd w:id="67"/>
      <w:r>
        <w:rPr>
          <w:rFonts w:hint="eastAsia" w:hAnsi="黑体" w:cs="黑体"/>
          <w:szCs w:val="21"/>
        </w:rPr>
        <w:t>评价指标与评分细则</w:t>
      </w:r>
      <w:bookmarkEnd w:id="68"/>
    </w:p>
    <w:p w14:paraId="36163E35">
      <w:pPr>
        <w:pStyle w:val="31"/>
        <w:numPr>
          <w:ilvl w:val="0"/>
          <w:numId w:val="0"/>
        </w:numPr>
        <w:spacing w:before="120" w:after="120"/>
        <w:rPr>
          <w:rFonts w:hint="eastAsia" w:hAnsi="黑体" w:cs="黑体"/>
        </w:rPr>
      </w:pPr>
      <w:r>
        <w:rPr>
          <w:rFonts w:hint="eastAsia" w:hAnsi="黑体" w:cs="黑体"/>
        </w:rPr>
        <w:t>表</w:t>
      </w:r>
      <w:r>
        <w:rPr>
          <w:rFonts w:hAnsi="黑体" w:cs="黑体"/>
        </w:rPr>
        <w:t xml:space="preserve">A.1 </w:t>
      </w:r>
      <w:r>
        <w:rPr>
          <w:rFonts w:hint="eastAsia" w:hAnsi="黑体" w:cs="黑体"/>
        </w:rPr>
        <w:t>品牌乡村（行政村、乡镇）评价指标与评分细则</w:t>
      </w:r>
    </w:p>
    <w:tbl>
      <w:tblPr>
        <w:tblStyle w:val="7"/>
        <w:tblW w:w="92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9"/>
        <w:gridCol w:w="668"/>
        <w:gridCol w:w="1559"/>
        <w:gridCol w:w="2268"/>
        <w:gridCol w:w="3118"/>
        <w:gridCol w:w="851"/>
      </w:tblGrid>
      <w:tr w14:paraId="3D1F2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tcBorders>
              <w:top w:val="single" w:color="auto" w:sz="4" w:space="0"/>
              <w:left w:val="single" w:color="auto" w:sz="4" w:space="0"/>
              <w:bottom w:val="single" w:color="auto" w:sz="4" w:space="0"/>
              <w:right w:val="single" w:color="auto" w:sz="4" w:space="0"/>
            </w:tcBorders>
            <w:vAlign w:val="center"/>
          </w:tcPr>
          <w:p w14:paraId="16BF85F0">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r>
              <w:rPr>
                <w:rFonts w:ascii="Times New Roman" w:hAnsi="Times New Roman" w:cs="Times New Roman"/>
                <w:b/>
                <w:bCs/>
                <w:kern w:val="2"/>
                <w:sz w:val="21"/>
                <w:szCs w:val="21"/>
              </w:rPr>
              <w:t>一级指标</w:t>
            </w:r>
          </w:p>
        </w:tc>
        <w:tc>
          <w:tcPr>
            <w:tcW w:w="668" w:type="dxa"/>
            <w:tcBorders>
              <w:top w:val="single" w:color="auto" w:sz="4" w:space="0"/>
              <w:left w:val="single" w:color="auto" w:sz="4" w:space="0"/>
              <w:bottom w:val="single" w:color="auto" w:sz="4" w:space="0"/>
              <w:right w:val="single" w:color="auto" w:sz="4" w:space="0"/>
            </w:tcBorders>
            <w:vAlign w:val="center"/>
          </w:tcPr>
          <w:p w14:paraId="4C81FF69">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r>
              <w:rPr>
                <w:rFonts w:ascii="Times New Roman" w:hAnsi="Times New Roman" w:cs="Times New Roman"/>
                <w:b/>
                <w:bCs/>
                <w:kern w:val="2"/>
                <w:sz w:val="21"/>
                <w:szCs w:val="21"/>
              </w:rPr>
              <w:t>二级指标</w:t>
            </w:r>
          </w:p>
        </w:tc>
        <w:tc>
          <w:tcPr>
            <w:tcW w:w="1559" w:type="dxa"/>
            <w:tcBorders>
              <w:top w:val="single" w:color="auto" w:sz="4" w:space="0"/>
              <w:left w:val="single" w:color="auto" w:sz="4" w:space="0"/>
              <w:bottom w:val="single" w:color="auto" w:sz="4" w:space="0"/>
              <w:right w:val="single" w:color="auto" w:sz="4" w:space="0"/>
            </w:tcBorders>
            <w:vAlign w:val="center"/>
          </w:tcPr>
          <w:p w14:paraId="7975A406">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r>
              <w:rPr>
                <w:rFonts w:ascii="Times New Roman" w:hAnsi="Times New Roman" w:cs="Times New Roman"/>
                <w:b/>
                <w:bCs/>
                <w:kern w:val="2"/>
                <w:sz w:val="21"/>
                <w:szCs w:val="21"/>
              </w:rPr>
              <w:t>三级</w:t>
            </w:r>
          </w:p>
          <w:p w14:paraId="32303F77">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r>
              <w:rPr>
                <w:rFonts w:ascii="Times New Roman" w:hAnsi="Times New Roman" w:cs="Times New Roman"/>
                <w:b/>
                <w:bCs/>
                <w:kern w:val="2"/>
                <w:sz w:val="21"/>
                <w:szCs w:val="21"/>
              </w:rPr>
              <w:t>指标</w:t>
            </w:r>
          </w:p>
        </w:tc>
        <w:tc>
          <w:tcPr>
            <w:tcW w:w="2268" w:type="dxa"/>
            <w:tcBorders>
              <w:top w:val="single" w:color="auto" w:sz="4" w:space="0"/>
              <w:left w:val="single" w:color="auto" w:sz="4" w:space="0"/>
              <w:bottom w:val="single" w:color="auto" w:sz="4" w:space="0"/>
              <w:right w:val="single" w:color="auto" w:sz="4" w:space="0"/>
            </w:tcBorders>
            <w:vAlign w:val="center"/>
          </w:tcPr>
          <w:p w14:paraId="7FFF9211">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r>
              <w:rPr>
                <w:rFonts w:hint="eastAsia" w:ascii="Times New Roman" w:hAnsi="Times New Roman" w:cs="Times New Roman"/>
                <w:b/>
                <w:bCs/>
                <w:kern w:val="2"/>
                <w:sz w:val="21"/>
                <w:szCs w:val="21"/>
              </w:rPr>
              <w:t>指标说明</w:t>
            </w:r>
          </w:p>
        </w:tc>
        <w:tc>
          <w:tcPr>
            <w:tcW w:w="3118" w:type="dxa"/>
            <w:tcBorders>
              <w:top w:val="single" w:color="auto" w:sz="4" w:space="0"/>
              <w:left w:val="single" w:color="auto" w:sz="4" w:space="0"/>
              <w:bottom w:val="single" w:color="auto" w:sz="4" w:space="0"/>
              <w:right w:val="single" w:color="auto" w:sz="4" w:space="0"/>
            </w:tcBorders>
            <w:vAlign w:val="center"/>
          </w:tcPr>
          <w:p w14:paraId="0A938E37">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r>
              <w:rPr>
                <w:rFonts w:hint="eastAsia" w:ascii="Times New Roman" w:hAnsi="Times New Roman" w:cs="Times New Roman"/>
                <w:b/>
                <w:bCs/>
                <w:kern w:val="2"/>
                <w:sz w:val="21"/>
                <w:szCs w:val="21"/>
              </w:rPr>
              <w:t>评分细则</w:t>
            </w:r>
          </w:p>
        </w:tc>
        <w:tc>
          <w:tcPr>
            <w:tcW w:w="851" w:type="dxa"/>
            <w:tcBorders>
              <w:top w:val="single" w:color="auto" w:sz="4" w:space="0"/>
              <w:left w:val="single" w:color="auto" w:sz="4" w:space="0"/>
              <w:bottom w:val="single" w:color="auto" w:sz="4" w:space="0"/>
              <w:right w:val="single" w:color="auto" w:sz="4" w:space="0"/>
            </w:tcBorders>
            <w:vAlign w:val="center"/>
          </w:tcPr>
          <w:p w14:paraId="59C38701">
            <w:pPr>
              <w:pStyle w:val="6"/>
              <w:tabs>
                <w:tab w:val="center" w:pos="4201"/>
                <w:tab w:val="right" w:leader="dot" w:pos="9298"/>
              </w:tabs>
              <w:autoSpaceDE w:val="0"/>
              <w:autoSpaceDN w:val="0"/>
              <w:adjustRightInd w:val="0"/>
              <w:snapToGrid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b/>
                <w:bCs/>
                <w:kern w:val="2"/>
                <w:sz w:val="21"/>
                <w:szCs w:val="21"/>
              </w:rPr>
              <w:t>赋分 区间</w:t>
            </w:r>
          </w:p>
        </w:tc>
      </w:tr>
      <w:tr w14:paraId="6CADD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79" w:type="dxa"/>
            <w:vMerge w:val="restart"/>
            <w:tcBorders>
              <w:top w:val="single" w:color="auto" w:sz="4" w:space="0"/>
              <w:left w:val="single" w:color="auto" w:sz="4" w:space="0"/>
              <w:right w:val="single" w:color="auto" w:sz="4" w:space="0"/>
            </w:tcBorders>
            <w:vAlign w:val="center"/>
          </w:tcPr>
          <w:p w14:paraId="667767AB">
            <w:pPr>
              <w:pStyle w:val="6"/>
              <w:tabs>
                <w:tab w:val="center" w:pos="4201"/>
                <w:tab w:val="right" w:leader="dot" w:pos="9298"/>
              </w:tabs>
              <w:autoSpaceDE w:val="0"/>
              <w:autoSpaceDN w:val="0"/>
              <w:adjustRightInd w:val="0"/>
              <w:snapToGrid w:val="0"/>
              <w:spacing w:before="0" w:beforeAutospacing="0" w:after="0" w:afterAutospacing="0"/>
              <w:jc w:val="center"/>
              <w:rPr>
                <w:rFonts w:ascii="Times New Roman" w:hAnsi="Times New Roman" w:cs="Times New Roman"/>
                <w:kern w:val="2"/>
                <w:sz w:val="18"/>
                <w:szCs w:val="18"/>
              </w:rPr>
            </w:pPr>
            <w:r>
              <w:rPr>
                <w:rFonts w:ascii="Times New Roman" w:hAnsi="Times New Roman" w:cs="Times New Roman"/>
                <w:b/>
                <w:bCs/>
                <w:kern w:val="2"/>
                <w:sz w:val="21"/>
                <w:szCs w:val="21"/>
              </w:rPr>
              <w:t>品牌基础要素</w:t>
            </w:r>
          </w:p>
        </w:tc>
        <w:tc>
          <w:tcPr>
            <w:tcW w:w="668" w:type="dxa"/>
            <w:vMerge w:val="restart"/>
            <w:tcBorders>
              <w:top w:val="single" w:color="auto" w:sz="4" w:space="0"/>
              <w:left w:val="single" w:color="auto" w:sz="4" w:space="0"/>
              <w:right w:val="single" w:color="auto" w:sz="4" w:space="0"/>
            </w:tcBorders>
            <w:vAlign w:val="center"/>
          </w:tcPr>
          <w:p w14:paraId="0DD0EC02">
            <w:pPr>
              <w:pStyle w:val="6"/>
              <w:tabs>
                <w:tab w:val="center" w:pos="4201"/>
                <w:tab w:val="right" w:leader="dot" w:pos="9298"/>
              </w:tabs>
              <w:autoSpaceDE w:val="0"/>
              <w:autoSpaceDN w:val="0"/>
              <w:adjustRightInd w:val="0"/>
              <w:snapToGrid w:val="0"/>
              <w:spacing w:before="0" w:beforeAutospacing="0" w:after="0" w:afterAutospacing="0"/>
              <w:jc w:val="center"/>
              <w:rPr>
                <w:rFonts w:ascii="Times New Roman" w:hAnsi="Times New Roman" w:cs="Times New Roman"/>
                <w:b/>
                <w:bCs/>
                <w:kern w:val="2"/>
                <w:sz w:val="18"/>
                <w:szCs w:val="18"/>
              </w:rPr>
            </w:pPr>
            <w:r>
              <w:rPr>
                <w:rFonts w:hint="eastAsia" w:ascii="Times New Roman" w:hAnsi="Times New Roman" w:cs="Times New Roman"/>
                <w:b/>
                <w:bCs/>
                <w:kern w:val="2"/>
                <w:sz w:val="18"/>
                <w:szCs w:val="18"/>
              </w:rPr>
              <w:t>资源禀赋</w:t>
            </w:r>
          </w:p>
        </w:tc>
        <w:tc>
          <w:tcPr>
            <w:tcW w:w="1559" w:type="dxa"/>
            <w:tcBorders>
              <w:top w:val="single" w:color="auto" w:sz="4" w:space="0"/>
              <w:left w:val="single" w:color="auto" w:sz="4" w:space="0"/>
              <w:bottom w:val="single" w:color="auto" w:sz="4" w:space="0"/>
              <w:right w:val="single" w:color="auto" w:sz="4" w:space="0"/>
            </w:tcBorders>
            <w:vAlign w:val="center"/>
          </w:tcPr>
          <w:p w14:paraId="22FAB6E2">
            <w:pPr>
              <w:pStyle w:val="6"/>
              <w:tabs>
                <w:tab w:val="center" w:pos="4201"/>
                <w:tab w:val="right" w:leader="dot" w:pos="9298"/>
              </w:tabs>
              <w:autoSpaceDE w:val="0"/>
              <w:autoSpaceDN w:val="0"/>
              <w:adjustRightInd w:val="0"/>
              <w:snapToGrid w:val="0"/>
              <w:spacing w:before="0" w:beforeAutospacing="0" w:after="0" w:afterAutospacing="0"/>
              <w:jc w:val="center"/>
              <w:rPr>
                <w:rFonts w:ascii="Times New Roman" w:hAnsi="Times New Roman" w:cs="Times New Roman"/>
                <w:kern w:val="2"/>
                <w:sz w:val="18"/>
                <w:szCs w:val="18"/>
              </w:rPr>
            </w:pPr>
            <w:r>
              <w:rPr>
                <w:rFonts w:ascii="Times New Roman" w:hAnsi="Times New Roman" w:cs="Times New Roman"/>
                <w:kern w:val="2"/>
                <w:sz w:val="18"/>
                <w:szCs w:val="18"/>
              </w:rPr>
              <w:t>村容村貌和谐度</w:t>
            </w:r>
          </w:p>
        </w:tc>
        <w:tc>
          <w:tcPr>
            <w:tcW w:w="2268" w:type="dxa"/>
            <w:tcBorders>
              <w:top w:val="single" w:color="auto" w:sz="4" w:space="0"/>
              <w:left w:val="single" w:color="auto" w:sz="4" w:space="0"/>
              <w:right w:val="single" w:color="auto" w:sz="4" w:space="0"/>
            </w:tcBorders>
            <w:vAlign w:val="center"/>
          </w:tcPr>
          <w:p w14:paraId="42E95777">
            <w:pPr>
              <w:pStyle w:val="6"/>
              <w:tabs>
                <w:tab w:val="center" w:pos="4201"/>
                <w:tab w:val="right" w:leader="dot" w:pos="9298"/>
              </w:tabs>
              <w:autoSpaceDE w:val="0"/>
              <w:autoSpaceDN w:val="0"/>
              <w:adjustRightInd w:val="0"/>
              <w:snapToGrid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人居环境</w:t>
            </w:r>
            <w:r>
              <w:rPr>
                <w:rFonts w:ascii="Times New Roman" w:hAnsi="Times New Roman" w:cs="Times New Roman"/>
                <w:kern w:val="2"/>
                <w:sz w:val="18"/>
                <w:szCs w:val="18"/>
              </w:rPr>
              <w:t>规划</w:t>
            </w:r>
            <w:r>
              <w:rPr>
                <w:rFonts w:hint="eastAsia" w:ascii="Times New Roman" w:hAnsi="Times New Roman" w:cs="Times New Roman"/>
                <w:kern w:val="2"/>
                <w:sz w:val="18"/>
                <w:szCs w:val="18"/>
              </w:rPr>
              <w:t>，</w:t>
            </w:r>
            <w:r>
              <w:rPr>
                <w:rFonts w:ascii="Times New Roman" w:hAnsi="Times New Roman" w:cs="Times New Roman"/>
                <w:kern w:val="2"/>
                <w:sz w:val="18"/>
                <w:szCs w:val="18"/>
              </w:rPr>
              <w:t>建筑的</w:t>
            </w:r>
            <w:r>
              <w:rPr>
                <w:rFonts w:hint="eastAsia" w:ascii="Times New Roman" w:hAnsi="Times New Roman" w:cs="Times New Roman"/>
                <w:kern w:val="2"/>
                <w:sz w:val="18"/>
                <w:szCs w:val="18"/>
              </w:rPr>
              <w:t>完整度、和谐度</w:t>
            </w:r>
            <w:r>
              <w:rPr>
                <w:rFonts w:ascii="Times New Roman" w:hAnsi="Times New Roman" w:cs="Times New Roman"/>
                <w:kern w:val="2"/>
                <w:sz w:val="18"/>
                <w:szCs w:val="18"/>
              </w:rPr>
              <w:t>，呼应品牌乡村的主题要求，尊重村容村貌历史文化特征，没有明显的人为破坏</w:t>
            </w:r>
            <w:r>
              <w:rPr>
                <w:rFonts w:hint="eastAsia" w:ascii="Times New Roman" w:hAnsi="Times New Roman" w:cs="Times New Roman"/>
                <w:kern w:val="2"/>
                <w:sz w:val="18"/>
                <w:szCs w:val="18"/>
              </w:rPr>
              <w:t>。</w:t>
            </w:r>
          </w:p>
        </w:tc>
        <w:tc>
          <w:tcPr>
            <w:tcW w:w="3118" w:type="dxa"/>
            <w:tcBorders>
              <w:top w:val="single" w:color="auto" w:sz="4" w:space="0"/>
              <w:left w:val="single" w:color="auto" w:sz="4" w:space="0"/>
              <w:right w:val="single" w:color="auto" w:sz="4" w:space="0"/>
            </w:tcBorders>
            <w:vAlign w:val="center"/>
          </w:tcPr>
          <w:p w14:paraId="0CCD4A39">
            <w:pPr>
              <w:pStyle w:val="6"/>
              <w:tabs>
                <w:tab w:val="center" w:pos="4201"/>
                <w:tab w:val="right" w:leader="dot" w:pos="9298"/>
              </w:tabs>
              <w:autoSpaceDE w:val="0"/>
              <w:autoSpaceDN w:val="0"/>
              <w:adjustRightInd w:val="0"/>
              <w:snapToGrid w:val="0"/>
              <w:spacing w:before="0" w:beforeAutospacing="0" w:after="0" w:afterAutospacing="0"/>
              <w:rPr>
                <w:rFonts w:ascii="Times New Roman" w:hAnsi="Times New Roman" w:cs="Times New Roman"/>
                <w:kern w:val="2"/>
                <w:sz w:val="18"/>
                <w:szCs w:val="18"/>
              </w:rPr>
            </w:pPr>
            <w:r>
              <w:rPr>
                <w:rFonts w:ascii="Times New Roman" w:hAnsi="Times New Roman" w:cs="Times New Roman"/>
                <w:kern w:val="2"/>
                <w:sz w:val="18"/>
                <w:szCs w:val="18"/>
              </w:rPr>
              <w:t>有科学的规划，1分；尊重村貌和文化特征，1分。</w:t>
            </w:r>
          </w:p>
        </w:tc>
        <w:tc>
          <w:tcPr>
            <w:tcW w:w="851" w:type="dxa"/>
            <w:tcBorders>
              <w:top w:val="single" w:color="auto" w:sz="4" w:space="0"/>
              <w:left w:val="single" w:color="auto" w:sz="4" w:space="0"/>
              <w:right w:val="single" w:color="auto" w:sz="4" w:space="0"/>
            </w:tcBorders>
            <w:vAlign w:val="center"/>
          </w:tcPr>
          <w:p w14:paraId="3AA525F4">
            <w:pPr>
              <w:pStyle w:val="6"/>
              <w:tabs>
                <w:tab w:val="center" w:pos="4201"/>
                <w:tab w:val="right" w:leader="dot" w:pos="9298"/>
              </w:tabs>
              <w:autoSpaceDE w:val="0"/>
              <w:autoSpaceDN w:val="0"/>
              <w:adjustRightInd w:val="0"/>
              <w:snapToGrid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【0-2】</w:t>
            </w:r>
          </w:p>
        </w:tc>
      </w:tr>
      <w:tr w14:paraId="26409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79" w:type="dxa"/>
            <w:vMerge w:val="continue"/>
            <w:tcBorders>
              <w:left w:val="single" w:color="auto" w:sz="4" w:space="0"/>
              <w:right w:val="single" w:color="auto" w:sz="4" w:space="0"/>
            </w:tcBorders>
          </w:tcPr>
          <w:p w14:paraId="637C5E5B">
            <w:pPr>
              <w:snapToGrid w:val="0"/>
              <w:spacing w:line="240" w:lineRule="auto"/>
              <w:jc w:val="center"/>
              <w:rPr>
                <w:rFonts w:ascii="Times New Roman" w:hAnsi="Times New Roman"/>
                <w:sz w:val="18"/>
                <w:szCs w:val="18"/>
              </w:rPr>
            </w:pPr>
          </w:p>
        </w:tc>
        <w:tc>
          <w:tcPr>
            <w:tcW w:w="668" w:type="dxa"/>
            <w:vMerge w:val="continue"/>
            <w:tcBorders>
              <w:left w:val="single" w:color="auto" w:sz="4" w:space="0"/>
              <w:right w:val="single" w:color="auto" w:sz="4" w:space="0"/>
            </w:tcBorders>
            <w:vAlign w:val="center"/>
          </w:tcPr>
          <w:p w14:paraId="353CB422">
            <w:pPr>
              <w:snapToGrid w:val="0"/>
              <w:spacing w:line="240" w:lineRule="auto"/>
              <w:jc w:val="center"/>
              <w:rPr>
                <w:rFonts w:ascii="Times New Roman" w:hAnsi="Times New Roman"/>
                <w:sz w:val="18"/>
                <w:szCs w:val="18"/>
              </w:rPr>
            </w:pPr>
          </w:p>
        </w:tc>
        <w:tc>
          <w:tcPr>
            <w:tcW w:w="1559" w:type="dxa"/>
            <w:tcBorders>
              <w:top w:val="single" w:color="auto" w:sz="4" w:space="0"/>
              <w:left w:val="single" w:color="auto" w:sz="4" w:space="0"/>
              <w:bottom w:val="single" w:color="auto" w:sz="4" w:space="0"/>
              <w:right w:val="single" w:color="auto" w:sz="4" w:space="0"/>
            </w:tcBorders>
            <w:vAlign w:val="center"/>
          </w:tcPr>
          <w:p w14:paraId="74D7457B">
            <w:pPr>
              <w:snapToGrid w:val="0"/>
              <w:spacing w:line="240" w:lineRule="auto"/>
              <w:jc w:val="center"/>
              <w:rPr>
                <w:rFonts w:ascii="Times New Roman" w:hAnsi="Times New Roman"/>
                <w:sz w:val="18"/>
                <w:szCs w:val="18"/>
              </w:rPr>
            </w:pPr>
            <w:r>
              <w:rPr>
                <w:rFonts w:ascii="Times New Roman" w:hAnsi="Times New Roman"/>
                <w:sz w:val="18"/>
                <w:szCs w:val="18"/>
              </w:rPr>
              <w:t>村容村貌独特性</w:t>
            </w:r>
          </w:p>
        </w:tc>
        <w:tc>
          <w:tcPr>
            <w:tcW w:w="2268" w:type="dxa"/>
            <w:tcBorders>
              <w:left w:val="single" w:color="auto" w:sz="4" w:space="0"/>
              <w:bottom w:val="single" w:color="auto" w:sz="4" w:space="0"/>
              <w:right w:val="single" w:color="auto" w:sz="4" w:space="0"/>
            </w:tcBorders>
            <w:vAlign w:val="center"/>
          </w:tcPr>
          <w:p w14:paraId="41C228CE">
            <w:pPr>
              <w:snapToGrid w:val="0"/>
              <w:spacing w:line="240" w:lineRule="auto"/>
              <w:rPr>
                <w:rFonts w:ascii="Times New Roman" w:hAnsi="Times New Roman"/>
                <w:sz w:val="18"/>
                <w:szCs w:val="18"/>
              </w:rPr>
            </w:pPr>
            <w:r>
              <w:rPr>
                <w:rFonts w:ascii="Times New Roman" w:hAnsi="Times New Roman"/>
                <w:sz w:val="18"/>
                <w:szCs w:val="18"/>
              </w:rPr>
              <w:t>村容</w:t>
            </w:r>
            <w:r>
              <w:rPr>
                <w:rFonts w:hint="eastAsia" w:ascii="Times New Roman" w:hAnsi="Times New Roman"/>
                <w:sz w:val="18"/>
                <w:szCs w:val="18"/>
              </w:rPr>
              <w:t>村貌</w:t>
            </w:r>
            <w:r>
              <w:rPr>
                <w:rFonts w:ascii="Times New Roman" w:hAnsi="Times New Roman"/>
                <w:sz w:val="18"/>
                <w:szCs w:val="18"/>
              </w:rPr>
              <w:t>呈现自身特色与个性</w:t>
            </w:r>
            <w:r>
              <w:rPr>
                <w:rFonts w:hint="eastAsia" w:ascii="Times New Roman" w:hAnsi="Times New Roman"/>
                <w:sz w:val="18"/>
                <w:szCs w:val="18"/>
              </w:rPr>
              <w:t>，</w:t>
            </w:r>
            <w:r>
              <w:rPr>
                <w:rFonts w:ascii="Times New Roman" w:hAnsi="Times New Roman"/>
                <w:sz w:val="18"/>
                <w:szCs w:val="18"/>
              </w:rPr>
              <w:t>有不同于其他乡村的建筑风格、自然景观、地理地貌、村落格局、人文地标等</w:t>
            </w:r>
            <w:r>
              <w:rPr>
                <w:rFonts w:hint="eastAsia" w:ascii="Times New Roman" w:hAnsi="Times New Roman"/>
                <w:sz w:val="18"/>
                <w:szCs w:val="18"/>
              </w:rPr>
              <w:t>。</w:t>
            </w:r>
          </w:p>
        </w:tc>
        <w:tc>
          <w:tcPr>
            <w:tcW w:w="3118" w:type="dxa"/>
            <w:tcBorders>
              <w:left w:val="single" w:color="auto" w:sz="4" w:space="0"/>
              <w:bottom w:val="single" w:color="auto" w:sz="4" w:space="0"/>
              <w:right w:val="single" w:color="auto" w:sz="4" w:space="0"/>
            </w:tcBorders>
            <w:vAlign w:val="center"/>
          </w:tcPr>
          <w:p w14:paraId="50A43536">
            <w:pPr>
              <w:snapToGrid w:val="0"/>
              <w:spacing w:line="240" w:lineRule="auto"/>
              <w:jc w:val="left"/>
              <w:rPr>
                <w:rFonts w:ascii="Times New Roman" w:hAnsi="Times New Roman"/>
                <w:sz w:val="18"/>
                <w:szCs w:val="18"/>
              </w:rPr>
            </w:pPr>
            <w:r>
              <w:rPr>
                <w:rFonts w:ascii="Times New Roman" w:hAnsi="Times New Roman"/>
                <w:sz w:val="18"/>
                <w:szCs w:val="18"/>
              </w:rPr>
              <w:t>挖掘、认知村容村貌独特性，1分；呈现、表达村容村貌独特性，1分。</w:t>
            </w:r>
          </w:p>
        </w:tc>
        <w:tc>
          <w:tcPr>
            <w:tcW w:w="851" w:type="dxa"/>
            <w:tcBorders>
              <w:left w:val="single" w:color="auto" w:sz="4" w:space="0"/>
              <w:bottom w:val="single" w:color="auto" w:sz="4" w:space="0"/>
              <w:right w:val="single" w:color="auto" w:sz="4" w:space="0"/>
            </w:tcBorders>
            <w:vAlign w:val="center"/>
          </w:tcPr>
          <w:p w14:paraId="469A3DC5">
            <w:pPr>
              <w:snapToGrid w:val="0"/>
              <w:spacing w:line="240" w:lineRule="auto"/>
              <w:jc w:val="center"/>
              <w:rPr>
                <w:rFonts w:ascii="Times New Roman" w:hAnsi="Times New Roman"/>
                <w:sz w:val="18"/>
                <w:szCs w:val="18"/>
              </w:rPr>
            </w:pPr>
            <w:r>
              <w:rPr>
                <w:rFonts w:hint="eastAsia" w:ascii="Times New Roman" w:hAnsi="Times New Roman"/>
                <w:sz w:val="18"/>
                <w:szCs w:val="18"/>
              </w:rPr>
              <w:t>【0-2】</w:t>
            </w:r>
          </w:p>
        </w:tc>
      </w:tr>
      <w:tr w14:paraId="6BCB0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79" w:type="dxa"/>
            <w:vMerge w:val="continue"/>
            <w:tcBorders>
              <w:left w:val="single" w:color="auto" w:sz="4" w:space="0"/>
              <w:right w:val="single" w:color="auto" w:sz="4" w:space="0"/>
            </w:tcBorders>
          </w:tcPr>
          <w:p w14:paraId="15FA013B">
            <w:pPr>
              <w:snapToGrid w:val="0"/>
              <w:spacing w:line="240" w:lineRule="auto"/>
              <w:jc w:val="center"/>
              <w:rPr>
                <w:rFonts w:ascii="Times New Roman" w:hAnsi="Times New Roman"/>
                <w:sz w:val="18"/>
                <w:szCs w:val="18"/>
              </w:rPr>
            </w:pPr>
          </w:p>
        </w:tc>
        <w:tc>
          <w:tcPr>
            <w:tcW w:w="668" w:type="dxa"/>
            <w:vMerge w:val="continue"/>
            <w:tcBorders>
              <w:left w:val="single" w:color="auto" w:sz="4" w:space="0"/>
              <w:right w:val="single" w:color="auto" w:sz="4" w:space="0"/>
            </w:tcBorders>
            <w:vAlign w:val="center"/>
          </w:tcPr>
          <w:p w14:paraId="330DEE81">
            <w:pPr>
              <w:snapToGrid w:val="0"/>
              <w:spacing w:line="240" w:lineRule="auto"/>
              <w:jc w:val="center"/>
              <w:rPr>
                <w:rFonts w:ascii="Times New Roman" w:hAnsi="Times New Roman"/>
                <w:sz w:val="18"/>
                <w:szCs w:val="18"/>
              </w:rPr>
            </w:pPr>
          </w:p>
        </w:tc>
        <w:tc>
          <w:tcPr>
            <w:tcW w:w="1559" w:type="dxa"/>
            <w:tcBorders>
              <w:top w:val="single" w:color="auto" w:sz="4" w:space="0"/>
              <w:left w:val="single" w:color="auto" w:sz="4" w:space="0"/>
              <w:bottom w:val="single" w:color="auto" w:sz="4" w:space="0"/>
              <w:right w:val="single" w:color="auto" w:sz="4" w:space="0"/>
            </w:tcBorders>
            <w:vAlign w:val="center"/>
          </w:tcPr>
          <w:p w14:paraId="38839BF0">
            <w:pPr>
              <w:snapToGrid w:val="0"/>
              <w:spacing w:line="240" w:lineRule="auto"/>
              <w:jc w:val="center"/>
              <w:rPr>
                <w:rFonts w:ascii="Times New Roman" w:hAnsi="Times New Roman"/>
                <w:sz w:val="18"/>
                <w:szCs w:val="18"/>
              </w:rPr>
            </w:pPr>
            <w:r>
              <w:rPr>
                <w:rFonts w:ascii="Times New Roman" w:hAnsi="Times New Roman"/>
                <w:sz w:val="18"/>
                <w:szCs w:val="18"/>
              </w:rPr>
              <w:t>历史人文特色</w:t>
            </w:r>
          </w:p>
        </w:tc>
        <w:tc>
          <w:tcPr>
            <w:tcW w:w="2268" w:type="dxa"/>
            <w:tcBorders>
              <w:top w:val="single" w:color="auto" w:sz="4" w:space="0"/>
              <w:left w:val="single" w:color="auto" w:sz="4" w:space="0"/>
              <w:bottom w:val="single" w:color="auto" w:sz="4" w:space="0"/>
              <w:right w:val="single" w:color="auto" w:sz="4" w:space="0"/>
            </w:tcBorders>
            <w:vAlign w:val="center"/>
          </w:tcPr>
          <w:p w14:paraId="65E75CFE">
            <w:pPr>
              <w:snapToGrid w:val="0"/>
              <w:spacing w:line="240" w:lineRule="auto"/>
              <w:rPr>
                <w:rFonts w:ascii="Times New Roman" w:hAnsi="Times New Roman"/>
                <w:sz w:val="18"/>
                <w:szCs w:val="18"/>
              </w:rPr>
            </w:pPr>
            <w:r>
              <w:rPr>
                <w:rFonts w:ascii="Times New Roman" w:hAnsi="Times New Roman"/>
                <w:sz w:val="18"/>
                <w:szCs w:val="18"/>
              </w:rPr>
              <w:t>拥有历史遗迹、民俗节庆、非遗传承、文化名人等人文资源</w:t>
            </w:r>
            <w:r>
              <w:rPr>
                <w:rFonts w:hint="eastAsia" w:ascii="Times New Roman" w:hAnsi="Times New Roman"/>
                <w:sz w:val="18"/>
                <w:szCs w:val="18"/>
              </w:rPr>
              <w:t>。</w:t>
            </w:r>
          </w:p>
        </w:tc>
        <w:tc>
          <w:tcPr>
            <w:tcW w:w="3118" w:type="dxa"/>
            <w:tcBorders>
              <w:top w:val="single" w:color="auto" w:sz="4" w:space="0"/>
              <w:left w:val="single" w:color="auto" w:sz="4" w:space="0"/>
              <w:bottom w:val="single" w:color="auto" w:sz="4" w:space="0"/>
              <w:right w:val="single" w:color="auto" w:sz="4" w:space="0"/>
            </w:tcBorders>
            <w:vAlign w:val="center"/>
          </w:tcPr>
          <w:p w14:paraId="77E76B64">
            <w:pPr>
              <w:snapToGrid w:val="0"/>
              <w:spacing w:line="240" w:lineRule="auto"/>
              <w:jc w:val="left"/>
              <w:rPr>
                <w:rFonts w:ascii="Times New Roman" w:hAnsi="Times New Roman"/>
                <w:sz w:val="18"/>
                <w:szCs w:val="18"/>
              </w:rPr>
            </w:pPr>
            <w:r>
              <w:rPr>
                <w:rFonts w:ascii="Times New Roman" w:hAnsi="Times New Roman"/>
                <w:sz w:val="18"/>
                <w:szCs w:val="18"/>
              </w:rPr>
              <w:t>获得中国历史文化名村，3分；其他历史文化类的称号，按国家级、省级依次给分；没有称号的，按历史人文资源的梳理情况</w:t>
            </w:r>
            <w:r>
              <w:rPr>
                <w:rFonts w:hint="eastAsia" w:ascii="Times New Roman" w:hAnsi="Times New Roman"/>
                <w:sz w:val="18"/>
                <w:szCs w:val="18"/>
              </w:rPr>
              <w:t>酌情给分</w:t>
            </w:r>
            <w:r>
              <w:rPr>
                <w:rFonts w:ascii="Times New Roman" w:hAnsi="Times New Roman"/>
                <w:sz w:val="18"/>
                <w:szCs w:val="18"/>
              </w:rPr>
              <w:t>，1-2分。</w:t>
            </w:r>
          </w:p>
        </w:tc>
        <w:tc>
          <w:tcPr>
            <w:tcW w:w="851" w:type="dxa"/>
            <w:tcBorders>
              <w:top w:val="single" w:color="auto" w:sz="4" w:space="0"/>
              <w:left w:val="single" w:color="auto" w:sz="4" w:space="0"/>
              <w:bottom w:val="single" w:color="auto" w:sz="4" w:space="0"/>
              <w:right w:val="single" w:color="auto" w:sz="4" w:space="0"/>
            </w:tcBorders>
            <w:vAlign w:val="center"/>
          </w:tcPr>
          <w:p w14:paraId="040FC37C">
            <w:pPr>
              <w:snapToGrid w:val="0"/>
              <w:spacing w:line="240" w:lineRule="auto"/>
              <w:jc w:val="center"/>
              <w:rPr>
                <w:rFonts w:ascii="Times New Roman" w:hAnsi="Times New Roman"/>
                <w:sz w:val="18"/>
                <w:szCs w:val="18"/>
              </w:rPr>
            </w:pPr>
            <w:r>
              <w:rPr>
                <w:rFonts w:hint="eastAsia" w:ascii="Times New Roman" w:hAnsi="Times New Roman"/>
                <w:sz w:val="18"/>
                <w:szCs w:val="18"/>
              </w:rPr>
              <w:t>【0-3】</w:t>
            </w:r>
          </w:p>
        </w:tc>
      </w:tr>
      <w:tr w14:paraId="7DBE3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779" w:type="dxa"/>
            <w:vMerge w:val="continue"/>
            <w:tcBorders>
              <w:left w:val="single" w:color="auto" w:sz="4" w:space="0"/>
              <w:right w:val="single" w:color="auto" w:sz="4" w:space="0"/>
            </w:tcBorders>
          </w:tcPr>
          <w:p w14:paraId="67888BC0">
            <w:pPr>
              <w:snapToGrid w:val="0"/>
              <w:spacing w:line="240" w:lineRule="auto"/>
              <w:jc w:val="center"/>
              <w:rPr>
                <w:rFonts w:ascii="Times New Roman" w:hAnsi="Times New Roman"/>
                <w:sz w:val="18"/>
                <w:szCs w:val="18"/>
              </w:rPr>
            </w:pPr>
          </w:p>
        </w:tc>
        <w:tc>
          <w:tcPr>
            <w:tcW w:w="668" w:type="dxa"/>
            <w:vMerge w:val="continue"/>
            <w:tcBorders>
              <w:left w:val="single" w:color="auto" w:sz="4" w:space="0"/>
              <w:bottom w:val="single" w:color="auto" w:sz="4" w:space="0"/>
              <w:right w:val="single" w:color="auto" w:sz="4" w:space="0"/>
            </w:tcBorders>
            <w:vAlign w:val="center"/>
          </w:tcPr>
          <w:p w14:paraId="7C66342A">
            <w:pPr>
              <w:snapToGrid w:val="0"/>
              <w:spacing w:line="240" w:lineRule="auto"/>
              <w:jc w:val="center"/>
              <w:rPr>
                <w:rFonts w:ascii="Times New Roman" w:hAnsi="Times New Roman"/>
                <w:sz w:val="18"/>
                <w:szCs w:val="18"/>
              </w:rPr>
            </w:pPr>
          </w:p>
        </w:tc>
        <w:tc>
          <w:tcPr>
            <w:tcW w:w="1559" w:type="dxa"/>
            <w:tcBorders>
              <w:left w:val="single" w:color="auto" w:sz="4" w:space="0"/>
              <w:bottom w:val="single" w:color="auto" w:sz="4" w:space="0"/>
              <w:right w:val="single" w:color="auto" w:sz="4" w:space="0"/>
            </w:tcBorders>
            <w:vAlign w:val="center"/>
          </w:tcPr>
          <w:p w14:paraId="6A9006DD">
            <w:pPr>
              <w:snapToGrid w:val="0"/>
              <w:spacing w:line="240" w:lineRule="auto"/>
              <w:jc w:val="center"/>
              <w:rPr>
                <w:rFonts w:ascii="Times New Roman" w:hAnsi="Times New Roman"/>
                <w:sz w:val="18"/>
                <w:szCs w:val="18"/>
              </w:rPr>
            </w:pPr>
            <w:r>
              <w:rPr>
                <w:rFonts w:ascii="Times New Roman" w:hAnsi="Times New Roman"/>
                <w:sz w:val="18"/>
                <w:szCs w:val="18"/>
              </w:rPr>
              <w:t>产业</w:t>
            </w:r>
          </w:p>
          <w:p w14:paraId="77EC3347">
            <w:pPr>
              <w:snapToGrid w:val="0"/>
              <w:spacing w:line="240" w:lineRule="auto"/>
              <w:jc w:val="center"/>
              <w:rPr>
                <w:rFonts w:ascii="Times New Roman" w:hAnsi="Times New Roman"/>
                <w:sz w:val="18"/>
                <w:szCs w:val="18"/>
              </w:rPr>
            </w:pPr>
            <w:r>
              <w:rPr>
                <w:rFonts w:ascii="Times New Roman" w:hAnsi="Times New Roman"/>
                <w:sz w:val="18"/>
                <w:szCs w:val="18"/>
              </w:rPr>
              <w:t>及</w:t>
            </w:r>
            <w:r>
              <w:rPr>
                <w:rFonts w:hint="eastAsia" w:ascii="Times New Roman" w:hAnsi="Times New Roman"/>
                <w:sz w:val="18"/>
                <w:szCs w:val="18"/>
              </w:rPr>
              <w:t>其它</w:t>
            </w:r>
            <w:r>
              <w:rPr>
                <w:rFonts w:ascii="Times New Roman" w:hAnsi="Times New Roman"/>
                <w:sz w:val="18"/>
                <w:szCs w:val="18"/>
              </w:rPr>
              <w:t>资源特色</w:t>
            </w:r>
          </w:p>
        </w:tc>
        <w:tc>
          <w:tcPr>
            <w:tcW w:w="2268" w:type="dxa"/>
            <w:tcBorders>
              <w:left w:val="single" w:color="auto" w:sz="4" w:space="0"/>
              <w:bottom w:val="single" w:color="auto" w:sz="4" w:space="0"/>
              <w:right w:val="single" w:color="auto" w:sz="4" w:space="0"/>
            </w:tcBorders>
            <w:vAlign w:val="center"/>
          </w:tcPr>
          <w:p w14:paraId="0C610706">
            <w:pPr>
              <w:snapToGrid w:val="0"/>
              <w:spacing w:line="240" w:lineRule="auto"/>
              <w:rPr>
                <w:rFonts w:ascii="Times New Roman" w:hAnsi="Times New Roman"/>
                <w:sz w:val="18"/>
                <w:szCs w:val="18"/>
              </w:rPr>
            </w:pPr>
            <w:r>
              <w:rPr>
                <w:rFonts w:ascii="Times New Roman" w:hAnsi="Times New Roman"/>
                <w:sz w:val="18"/>
                <w:szCs w:val="18"/>
              </w:rPr>
              <w:t>水质、土壤、空气、气候宜居度、植被覆盖率、噪音干扰、特色产业等自然资源</w:t>
            </w:r>
            <w:r>
              <w:rPr>
                <w:rFonts w:hint="eastAsia" w:ascii="Times New Roman" w:hAnsi="Times New Roman"/>
                <w:sz w:val="18"/>
                <w:szCs w:val="18"/>
              </w:rPr>
              <w:t>情况。</w:t>
            </w:r>
          </w:p>
        </w:tc>
        <w:tc>
          <w:tcPr>
            <w:tcW w:w="3118" w:type="dxa"/>
            <w:tcBorders>
              <w:left w:val="single" w:color="auto" w:sz="4" w:space="0"/>
              <w:bottom w:val="single" w:color="auto" w:sz="4" w:space="0"/>
              <w:right w:val="single" w:color="auto" w:sz="4" w:space="0"/>
            </w:tcBorders>
            <w:vAlign w:val="center"/>
          </w:tcPr>
          <w:p w14:paraId="0157331F">
            <w:pPr>
              <w:snapToGrid w:val="0"/>
              <w:spacing w:line="240" w:lineRule="auto"/>
              <w:jc w:val="left"/>
              <w:rPr>
                <w:rFonts w:ascii="Times New Roman" w:hAnsi="Times New Roman"/>
                <w:sz w:val="18"/>
                <w:szCs w:val="18"/>
              </w:rPr>
            </w:pPr>
            <w:r>
              <w:rPr>
                <w:rFonts w:ascii="Times New Roman" w:hAnsi="Times New Roman"/>
                <w:sz w:val="18"/>
                <w:szCs w:val="18"/>
              </w:rPr>
              <w:t>是地理标志产品覆盖区域的，3分；没有地标，按主导性、代表性产业及相应资源条件</w:t>
            </w:r>
            <w:r>
              <w:rPr>
                <w:rFonts w:hint="eastAsia" w:ascii="Times New Roman" w:hAnsi="Times New Roman"/>
                <w:sz w:val="18"/>
                <w:szCs w:val="18"/>
              </w:rPr>
              <w:t>酌情给分</w:t>
            </w:r>
            <w:r>
              <w:rPr>
                <w:rFonts w:ascii="Times New Roman" w:hAnsi="Times New Roman"/>
                <w:sz w:val="18"/>
                <w:szCs w:val="18"/>
              </w:rPr>
              <w:t>，1-2分。</w:t>
            </w:r>
          </w:p>
        </w:tc>
        <w:tc>
          <w:tcPr>
            <w:tcW w:w="851" w:type="dxa"/>
            <w:tcBorders>
              <w:left w:val="single" w:color="auto" w:sz="4" w:space="0"/>
              <w:bottom w:val="single" w:color="auto" w:sz="4" w:space="0"/>
              <w:right w:val="single" w:color="auto" w:sz="4" w:space="0"/>
            </w:tcBorders>
            <w:vAlign w:val="center"/>
          </w:tcPr>
          <w:p w14:paraId="0950D9BF">
            <w:pPr>
              <w:snapToGrid w:val="0"/>
              <w:spacing w:line="240" w:lineRule="auto"/>
              <w:jc w:val="center"/>
              <w:rPr>
                <w:rFonts w:ascii="Times New Roman" w:hAnsi="Times New Roman"/>
                <w:sz w:val="18"/>
                <w:szCs w:val="18"/>
              </w:rPr>
            </w:pPr>
            <w:r>
              <w:rPr>
                <w:rFonts w:hint="eastAsia" w:ascii="Times New Roman" w:hAnsi="Times New Roman"/>
                <w:sz w:val="18"/>
                <w:szCs w:val="18"/>
              </w:rPr>
              <w:t>【0-3】</w:t>
            </w:r>
          </w:p>
        </w:tc>
      </w:tr>
      <w:tr w14:paraId="5C879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79" w:type="dxa"/>
            <w:vMerge w:val="continue"/>
            <w:tcBorders>
              <w:left w:val="single" w:color="auto" w:sz="4" w:space="0"/>
              <w:right w:val="single" w:color="auto" w:sz="4" w:space="0"/>
            </w:tcBorders>
          </w:tcPr>
          <w:p w14:paraId="0484B585">
            <w:pPr>
              <w:snapToGrid w:val="0"/>
              <w:spacing w:line="240" w:lineRule="auto"/>
              <w:jc w:val="center"/>
              <w:rPr>
                <w:rFonts w:ascii="Times New Roman" w:hAnsi="Times New Roman"/>
                <w:sz w:val="18"/>
                <w:szCs w:val="18"/>
              </w:rPr>
            </w:pPr>
          </w:p>
        </w:tc>
        <w:tc>
          <w:tcPr>
            <w:tcW w:w="668" w:type="dxa"/>
            <w:vMerge w:val="restart"/>
            <w:tcBorders>
              <w:top w:val="single" w:color="auto" w:sz="4" w:space="0"/>
              <w:left w:val="single" w:color="auto" w:sz="4" w:space="0"/>
              <w:right w:val="single" w:color="auto" w:sz="4" w:space="0"/>
            </w:tcBorders>
            <w:vAlign w:val="center"/>
          </w:tcPr>
          <w:p w14:paraId="6073C3C2">
            <w:pPr>
              <w:pStyle w:val="6"/>
              <w:tabs>
                <w:tab w:val="center" w:pos="4201"/>
                <w:tab w:val="right" w:leader="dot" w:pos="9298"/>
              </w:tabs>
              <w:autoSpaceDE w:val="0"/>
              <w:autoSpaceDN w:val="0"/>
              <w:adjustRightInd w:val="0"/>
              <w:snapToGrid w:val="0"/>
              <w:spacing w:before="0" w:beforeAutospacing="0" w:after="0" w:afterAutospacing="0"/>
              <w:jc w:val="center"/>
              <w:rPr>
                <w:rFonts w:ascii="Times New Roman" w:hAnsi="Times New Roman"/>
                <w:sz w:val="18"/>
                <w:szCs w:val="18"/>
              </w:rPr>
            </w:pPr>
            <w:r>
              <w:rPr>
                <w:rFonts w:hint="eastAsia" w:ascii="Times New Roman" w:hAnsi="Times New Roman" w:cs="Times New Roman"/>
                <w:b/>
                <w:bCs/>
                <w:kern w:val="2"/>
                <w:sz w:val="18"/>
                <w:szCs w:val="18"/>
              </w:rPr>
              <w:t>社会</w:t>
            </w:r>
            <w:r>
              <w:rPr>
                <w:rFonts w:ascii="Times New Roman" w:hAnsi="Times New Roman" w:cs="Times New Roman"/>
                <w:b/>
                <w:bCs/>
                <w:kern w:val="2"/>
                <w:sz w:val="18"/>
                <w:szCs w:val="18"/>
              </w:rPr>
              <w:t>治理</w:t>
            </w:r>
          </w:p>
        </w:tc>
        <w:tc>
          <w:tcPr>
            <w:tcW w:w="1559" w:type="dxa"/>
            <w:tcBorders>
              <w:top w:val="single" w:color="auto" w:sz="4" w:space="0"/>
              <w:left w:val="single" w:color="auto" w:sz="4" w:space="0"/>
              <w:bottom w:val="single" w:color="auto" w:sz="4" w:space="0"/>
              <w:right w:val="single" w:color="auto" w:sz="4" w:space="0"/>
            </w:tcBorders>
            <w:vAlign w:val="center"/>
          </w:tcPr>
          <w:p w14:paraId="5429DCA4">
            <w:pPr>
              <w:snapToGrid w:val="0"/>
              <w:spacing w:line="240" w:lineRule="auto"/>
              <w:jc w:val="center"/>
              <w:rPr>
                <w:rFonts w:ascii="Times New Roman" w:hAnsi="Times New Roman"/>
                <w:sz w:val="18"/>
                <w:szCs w:val="18"/>
              </w:rPr>
            </w:pPr>
            <w:r>
              <w:rPr>
                <w:rFonts w:ascii="Times New Roman" w:hAnsi="Times New Roman"/>
                <w:sz w:val="18"/>
                <w:szCs w:val="18"/>
              </w:rPr>
              <w:t>组织保障</w:t>
            </w:r>
          </w:p>
        </w:tc>
        <w:tc>
          <w:tcPr>
            <w:tcW w:w="2268" w:type="dxa"/>
            <w:tcBorders>
              <w:top w:val="single" w:color="auto" w:sz="4" w:space="0"/>
              <w:left w:val="single" w:color="auto" w:sz="4" w:space="0"/>
              <w:right w:val="single" w:color="auto" w:sz="4" w:space="0"/>
            </w:tcBorders>
            <w:vAlign w:val="center"/>
          </w:tcPr>
          <w:p w14:paraId="27388384">
            <w:pPr>
              <w:snapToGrid w:val="0"/>
              <w:spacing w:line="240" w:lineRule="auto"/>
              <w:rPr>
                <w:rFonts w:ascii="Times New Roman" w:hAnsi="Times New Roman"/>
                <w:sz w:val="18"/>
                <w:szCs w:val="18"/>
              </w:rPr>
            </w:pPr>
            <w:r>
              <w:rPr>
                <w:rFonts w:hint="eastAsia" w:ascii="Times New Roman" w:hAnsi="Times New Roman"/>
                <w:sz w:val="18"/>
                <w:szCs w:val="18"/>
              </w:rPr>
              <w:t>有</w:t>
            </w:r>
            <w:r>
              <w:rPr>
                <w:rFonts w:ascii="Times New Roman" w:hAnsi="Times New Roman"/>
                <w:sz w:val="18"/>
                <w:szCs w:val="18"/>
              </w:rPr>
              <w:t>党支部，</w:t>
            </w:r>
            <w:r>
              <w:rPr>
                <w:rFonts w:hint="eastAsia" w:ascii="Times New Roman" w:hAnsi="Times New Roman"/>
                <w:sz w:val="18"/>
                <w:szCs w:val="18"/>
              </w:rPr>
              <w:t>能</w:t>
            </w:r>
            <w:r>
              <w:rPr>
                <w:rFonts w:ascii="Times New Roman" w:hAnsi="Times New Roman"/>
                <w:sz w:val="18"/>
                <w:szCs w:val="18"/>
              </w:rPr>
              <w:t>定期开展理论学习，</w:t>
            </w:r>
            <w:r>
              <w:rPr>
                <w:rFonts w:hint="eastAsia" w:ascii="Times New Roman" w:hAnsi="Times New Roman"/>
                <w:sz w:val="18"/>
                <w:szCs w:val="18"/>
              </w:rPr>
              <w:t>并</w:t>
            </w:r>
            <w:r>
              <w:rPr>
                <w:rFonts w:ascii="Times New Roman" w:hAnsi="Times New Roman"/>
                <w:sz w:val="18"/>
                <w:szCs w:val="18"/>
              </w:rPr>
              <w:t>在村务中发挥关键引领作用</w:t>
            </w:r>
            <w:r>
              <w:rPr>
                <w:rFonts w:hint="eastAsia" w:ascii="Times New Roman" w:hAnsi="Times New Roman"/>
                <w:sz w:val="18"/>
                <w:szCs w:val="18"/>
              </w:rPr>
              <w:t>。</w:t>
            </w:r>
          </w:p>
        </w:tc>
        <w:tc>
          <w:tcPr>
            <w:tcW w:w="3118" w:type="dxa"/>
            <w:tcBorders>
              <w:top w:val="single" w:color="auto" w:sz="4" w:space="0"/>
              <w:left w:val="single" w:color="auto" w:sz="4" w:space="0"/>
              <w:right w:val="single" w:color="auto" w:sz="4" w:space="0"/>
            </w:tcBorders>
            <w:vAlign w:val="center"/>
          </w:tcPr>
          <w:p w14:paraId="3E1A38B8">
            <w:pPr>
              <w:snapToGrid w:val="0"/>
              <w:spacing w:line="240" w:lineRule="auto"/>
              <w:jc w:val="left"/>
              <w:rPr>
                <w:rFonts w:ascii="Times New Roman" w:hAnsi="Times New Roman"/>
                <w:sz w:val="18"/>
                <w:szCs w:val="18"/>
              </w:rPr>
            </w:pPr>
            <w:r>
              <w:rPr>
                <w:rFonts w:ascii="Times New Roman" w:hAnsi="Times New Roman"/>
                <w:sz w:val="18"/>
                <w:szCs w:val="18"/>
              </w:rPr>
              <w:t>基层党组织获得先进典型的</w:t>
            </w:r>
            <w:r>
              <w:rPr>
                <w:rFonts w:hint="eastAsia" w:ascii="Times New Roman" w:hAnsi="Times New Roman"/>
                <w:sz w:val="18"/>
                <w:szCs w:val="18"/>
              </w:rPr>
              <w:t>荣誉的</w:t>
            </w:r>
            <w:r>
              <w:rPr>
                <w:rFonts w:ascii="Times New Roman" w:hAnsi="Times New Roman"/>
                <w:sz w:val="18"/>
                <w:szCs w:val="18"/>
              </w:rPr>
              <w:t>，3分；没有</w:t>
            </w:r>
            <w:r>
              <w:rPr>
                <w:rFonts w:hint="eastAsia" w:ascii="Times New Roman" w:hAnsi="Times New Roman"/>
                <w:sz w:val="18"/>
                <w:szCs w:val="18"/>
              </w:rPr>
              <w:t>前述</w:t>
            </w:r>
            <w:r>
              <w:rPr>
                <w:rFonts w:ascii="Times New Roman" w:hAnsi="Times New Roman"/>
                <w:sz w:val="18"/>
                <w:szCs w:val="18"/>
              </w:rPr>
              <w:t>称号的，有党支部且定期开展理论学习，1分；在村务中发挥关键引领作用，1分。</w:t>
            </w:r>
          </w:p>
        </w:tc>
        <w:tc>
          <w:tcPr>
            <w:tcW w:w="851" w:type="dxa"/>
            <w:tcBorders>
              <w:top w:val="single" w:color="auto" w:sz="4" w:space="0"/>
              <w:left w:val="single" w:color="auto" w:sz="4" w:space="0"/>
              <w:right w:val="single" w:color="auto" w:sz="4" w:space="0"/>
            </w:tcBorders>
            <w:vAlign w:val="center"/>
          </w:tcPr>
          <w:p w14:paraId="0EFEB58D">
            <w:pPr>
              <w:snapToGrid w:val="0"/>
              <w:spacing w:line="240" w:lineRule="auto"/>
              <w:jc w:val="center"/>
              <w:rPr>
                <w:rFonts w:ascii="Times New Roman" w:hAnsi="Times New Roman"/>
                <w:sz w:val="18"/>
                <w:szCs w:val="18"/>
              </w:rPr>
            </w:pPr>
            <w:r>
              <w:rPr>
                <w:rFonts w:hint="eastAsia" w:ascii="Times New Roman" w:hAnsi="Times New Roman"/>
                <w:sz w:val="18"/>
                <w:szCs w:val="18"/>
              </w:rPr>
              <w:t>【0-3】</w:t>
            </w:r>
          </w:p>
        </w:tc>
      </w:tr>
      <w:tr w14:paraId="67A1E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3" w:hRule="atLeast"/>
        </w:trPr>
        <w:tc>
          <w:tcPr>
            <w:tcW w:w="779" w:type="dxa"/>
            <w:vMerge w:val="continue"/>
            <w:tcBorders>
              <w:left w:val="single" w:color="auto" w:sz="4" w:space="0"/>
              <w:right w:val="single" w:color="auto" w:sz="4" w:space="0"/>
            </w:tcBorders>
          </w:tcPr>
          <w:p w14:paraId="59139F5C">
            <w:pPr>
              <w:snapToGrid w:val="0"/>
              <w:spacing w:line="240" w:lineRule="auto"/>
              <w:jc w:val="center"/>
              <w:rPr>
                <w:rFonts w:ascii="Times New Roman" w:hAnsi="Times New Roman"/>
                <w:sz w:val="18"/>
                <w:szCs w:val="18"/>
              </w:rPr>
            </w:pPr>
          </w:p>
        </w:tc>
        <w:tc>
          <w:tcPr>
            <w:tcW w:w="668" w:type="dxa"/>
            <w:vMerge w:val="continue"/>
            <w:tcBorders>
              <w:left w:val="single" w:color="auto" w:sz="4" w:space="0"/>
              <w:right w:val="single" w:color="auto" w:sz="4" w:space="0"/>
            </w:tcBorders>
            <w:vAlign w:val="center"/>
          </w:tcPr>
          <w:p w14:paraId="60D5820F">
            <w:pPr>
              <w:snapToGrid w:val="0"/>
              <w:spacing w:line="240" w:lineRule="auto"/>
              <w:jc w:val="center"/>
              <w:rPr>
                <w:rFonts w:ascii="Times New Roman" w:hAnsi="Times New Roman"/>
                <w:sz w:val="18"/>
                <w:szCs w:val="18"/>
              </w:rPr>
            </w:pPr>
          </w:p>
        </w:tc>
        <w:tc>
          <w:tcPr>
            <w:tcW w:w="1559" w:type="dxa"/>
            <w:tcBorders>
              <w:top w:val="single" w:color="auto" w:sz="4" w:space="0"/>
              <w:left w:val="single" w:color="auto" w:sz="4" w:space="0"/>
              <w:bottom w:val="single" w:color="auto" w:sz="4" w:space="0"/>
              <w:right w:val="single" w:color="auto" w:sz="4" w:space="0"/>
            </w:tcBorders>
            <w:vAlign w:val="center"/>
          </w:tcPr>
          <w:p w14:paraId="79EB5A07">
            <w:pPr>
              <w:snapToGrid w:val="0"/>
              <w:spacing w:line="240" w:lineRule="auto"/>
              <w:jc w:val="center"/>
              <w:rPr>
                <w:rFonts w:ascii="Times New Roman" w:hAnsi="Times New Roman"/>
                <w:sz w:val="18"/>
                <w:szCs w:val="18"/>
              </w:rPr>
            </w:pPr>
            <w:r>
              <w:rPr>
                <w:rFonts w:ascii="Times New Roman" w:hAnsi="Times New Roman"/>
                <w:sz w:val="18"/>
                <w:szCs w:val="18"/>
              </w:rPr>
              <w:t>村民自治</w:t>
            </w:r>
          </w:p>
        </w:tc>
        <w:tc>
          <w:tcPr>
            <w:tcW w:w="2268" w:type="dxa"/>
            <w:tcBorders>
              <w:top w:val="single" w:color="auto" w:sz="4" w:space="0"/>
              <w:left w:val="single" w:color="auto" w:sz="4" w:space="0"/>
              <w:right w:val="single" w:color="auto" w:sz="4" w:space="0"/>
            </w:tcBorders>
            <w:vAlign w:val="center"/>
          </w:tcPr>
          <w:p w14:paraId="270DCE23">
            <w:pPr>
              <w:snapToGrid w:val="0"/>
              <w:spacing w:line="240" w:lineRule="auto"/>
              <w:rPr>
                <w:rFonts w:ascii="Times New Roman" w:hAnsi="Times New Roman"/>
                <w:sz w:val="18"/>
                <w:szCs w:val="18"/>
              </w:rPr>
            </w:pPr>
            <w:r>
              <w:rPr>
                <w:rFonts w:hint="eastAsia" w:ascii="Times New Roman" w:hAnsi="Times New Roman"/>
                <w:sz w:val="18"/>
                <w:szCs w:val="18"/>
              </w:rPr>
              <w:t>有</w:t>
            </w:r>
            <w:r>
              <w:rPr>
                <w:rFonts w:ascii="Times New Roman" w:hAnsi="Times New Roman"/>
                <w:sz w:val="18"/>
                <w:szCs w:val="18"/>
              </w:rPr>
              <w:t>村务</w:t>
            </w:r>
            <w:r>
              <w:rPr>
                <w:rFonts w:hint="eastAsia" w:ascii="Times New Roman" w:hAnsi="Times New Roman"/>
                <w:sz w:val="18"/>
                <w:szCs w:val="18"/>
              </w:rPr>
              <w:t>/政务</w:t>
            </w:r>
            <w:r>
              <w:rPr>
                <w:rFonts w:ascii="Times New Roman" w:hAnsi="Times New Roman"/>
                <w:sz w:val="18"/>
                <w:szCs w:val="18"/>
              </w:rPr>
              <w:t>公开栏，有村务议事制度，村民村务参与率，村委村民关系和谐度</w:t>
            </w:r>
            <w:r>
              <w:rPr>
                <w:rFonts w:hint="eastAsia" w:ascii="Times New Roman" w:hAnsi="Times New Roman"/>
                <w:sz w:val="18"/>
                <w:szCs w:val="18"/>
              </w:rPr>
              <w:t>等。</w:t>
            </w:r>
          </w:p>
        </w:tc>
        <w:tc>
          <w:tcPr>
            <w:tcW w:w="3118" w:type="dxa"/>
            <w:tcBorders>
              <w:top w:val="single" w:color="auto" w:sz="4" w:space="0"/>
              <w:left w:val="single" w:color="auto" w:sz="4" w:space="0"/>
              <w:right w:val="single" w:color="auto" w:sz="4" w:space="0"/>
            </w:tcBorders>
            <w:vAlign w:val="center"/>
          </w:tcPr>
          <w:p w14:paraId="57A9DE4B">
            <w:pPr>
              <w:snapToGrid w:val="0"/>
              <w:spacing w:line="240" w:lineRule="auto"/>
              <w:jc w:val="left"/>
              <w:rPr>
                <w:rFonts w:ascii="Times New Roman" w:hAnsi="Times New Roman"/>
                <w:sz w:val="18"/>
                <w:szCs w:val="18"/>
              </w:rPr>
            </w:pPr>
            <w:r>
              <w:rPr>
                <w:rFonts w:ascii="Times New Roman" w:hAnsi="Times New Roman"/>
                <w:sz w:val="18"/>
                <w:szCs w:val="18"/>
              </w:rPr>
              <w:t>获得文明村、平安村、民主法制村、善治村等称号的，3分；没有</w:t>
            </w:r>
            <w:r>
              <w:rPr>
                <w:rFonts w:hint="eastAsia" w:ascii="Times New Roman" w:hAnsi="Times New Roman"/>
                <w:sz w:val="18"/>
                <w:szCs w:val="18"/>
              </w:rPr>
              <w:t>前述</w:t>
            </w:r>
            <w:r>
              <w:rPr>
                <w:rFonts w:ascii="Times New Roman" w:hAnsi="Times New Roman"/>
                <w:sz w:val="18"/>
                <w:szCs w:val="18"/>
              </w:rPr>
              <w:t>称号的，按</w:t>
            </w:r>
            <w:r>
              <w:rPr>
                <w:rFonts w:hint="eastAsia" w:ascii="Times New Roman" w:hAnsi="Times New Roman"/>
                <w:sz w:val="18"/>
                <w:szCs w:val="18"/>
              </w:rPr>
              <w:t>前</w:t>
            </w:r>
            <w:r>
              <w:rPr>
                <w:rFonts w:ascii="Times New Roman" w:hAnsi="Times New Roman"/>
                <w:sz w:val="18"/>
                <w:szCs w:val="18"/>
              </w:rPr>
              <w:t>述指标</w:t>
            </w:r>
            <w:r>
              <w:rPr>
                <w:rFonts w:hint="eastAsia" w:ascii="Times New Roman" w:hAnsi="Times New Roman"/>
                <w:sz w:val="18"/>
                <w:szCs w:val="18"/>
              </w:rPr>
              <w:t>情况</w:t>
            </w:r>
            <w:r>
              <w:rPr>
                <w:rFonts w:ascii="Times New Roman" w:hAnsi="Times New Roman"/>
                <w:sz w:val="18"/>
                <w:szCs w:val="18"/>
              </w:rPr>
              <w:t>酌情给分，1-2分</w:t>
            </w:r>
            <w:r>
              <w:rPr>
                <w:rFonts w:hint="eastAsia" w:ascii="Times New Roman" w:hAnsi="Times New Roman"/>
                <w:sz w:val="18"/>
                <w:szCs w:val="18"/>
              </w:rPr>
              <w:t>。</w:t>
            </w:r>
          </w:p>
        </w:tc>
        <w:tc>
          <w:tcPr>
            <w:tcW w:w="851" w:type="dxa"/>
            <w:tcBorders>
              <w:top w:val="single" w:color="auto" w:sz="4" w:space="0"/>
              <w:left w:val="single" w:color="auto" w:sz="4" w:space="0"/>
              <w:right w:val="single" w:color="auto" w:sz="4" w:space="0"/>
            </w:tcBorders>
            <w:vAlign w:val="center"/>
          </w:tcPr>
          <w:p w14:paraId="2AC1CB53">
            <w:pPr>
              <w:snapToGrid w:val="0"/>
              <w:spacing w:line="240" w:lineRule="auto"/>
              <w:jc w:val="center"/>
              <w:rPr>
                <w:rFonts w:ascii="Times New Roman" w:hAnsi="Times New Roman"/>
                <w:sz w:val="18"/>
                <w:szCs w:val="18"/>
              </w:rPr>
            </w:pPr>
            <w:r>
              <w:rPr>
                <w:rFonts w:hint="eastAsia" w:ascii="Times New Roman" w:hAnsi="Times New Roman"/>
                <w:sz w:val="18"/>
                <w:szCs w:val="18"/>
              </w:rPr>
              <w:t>【0-3】</w:t>
            </w:r>
          </w:p>
        </w:tc>
      </w:tr>
      <w:tr w14:paraId="0A907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79" w:type="dxa"/>
            <w:vMerge w:val="continue"/>
            <w:tcBorders>
              <w:left w:val="single" w:color="auto" w:sz="4" w:space="0"/>
              <w:right w:val="single" w:color="auto" w:sz="4" w:space="0"/>
            </w:tcBorders>
          </w:tcPr>
          <w:p w14:paraId="4A37D85F">
            <w:pPr>
              <w:snapToGrid w:val="0"/>
              <w:spacing w:line="240" w:lineRule="auto"/>
              <w:jc w:val="center"/>
              <w:rPr>
                <w:rFonts w:ascii="Times New Roman" w:hAnsi="Times New Roman"/>
                <w:sz w:val="18"/>
                <w:szCs w:val="18"/>
              </w:rPr>
            </w:pPr>
          </w:p>
        </w:tc>
        <w:tc>
          <w:tcPr>
            <w:tcW w:w="668" w:type="dxa"/>
            <w:vMerge w:val="restart"/>
            <w:tcBorders>
              <w:left w:val="single" w:color="auto" w:sz="4" w:space="0"/>
              <w:right w:val="single" w:color="auto" w:sz="4" w:space="0"/>
            </w:tcBorders>
            <w:vAlign w:val="center"/>
          </w:tcPr>
          <w:p w14:paraId="5B74A38E">
            <w:pPr>
              <w:snapToGrid w:val="0"/>
              <w:spacing w:line="240" w:lineRule="auto"/>
              <w:jc w:val="center"/>
              <w:rPr>
                <w:rFonts w:ascii="Times New Roman" w:hAnsi="Times New Roman"/>
                <w:b/>
                <w:bCs/>
                <w:sz w:val="18"/>
                <w:szCs w:val="18"/>
              </w:rPr>
            </w:pPr>
            <w:r>
              <w:rPr>
                <w:rFonts w:ascii="Times New Roman" w:hAnsi="Times New Roman"/>
                <w:b/>
                <w:bCs/>
                <w:sz w:val="18"/>
                <w:szCs w:val="18"/>
              </w:rPr>
              <w:t>设施建设</w:t>
            </w:r>
          </w:p>
        </w:tc>
        <w:tc>
          <w:tcPr>
            <w:tcW w:w="1559" w:type="dxa"/>
            <w:tcBorders>
              <w:top w:val="single" w:color="auto" w:sz="4" w:space="0"/>
              <w:left w:val="single" w:color="auto" w:sz="4" w:space="0"/>
              <w:bottom w:val="single" w:color="auto" w:sz="4" w:space="0"/>
              <w:right w:val="single" w:color="auto" w:sz="4" w:space="0"/>
            </w:tcBorders>
            <w:vAlign w:val="center"/>
          </w:tcPr>
          <w:p w14:paraId="24B35FC5">
            <w:pPr>
              <w:snapToGrid w:val="0"/>
              <w:spacing w:line="240" w:lineRule="auto"/>
              <w:jc w:val="center"/>
              <w:rPr>
                <w:rFonts w:ascii="Times New Roman" w:hAnsi="Times New Roman"/>
                <w:sz w:val="18"/>
                <w:szCs w:val="18"/>
              </w:rPr>
            </w:pPr>
            <w:r>
              <w:rPr>
                <w:rFonts w:ascii="Times New Roman" w:hAnsi="Times New Roman"/>
                <w:sz w:val="18"/>
                <w:szCs w:val="18"/>
              </w:rPr>
              <w:t>基础设施</w:t>
            </w:r>
          </w:p>
        </w:tc>
        <w:tc>
          <w:tcPr>
            <w:tcW w:w="2268" w:type="dxa"/>
            <w:tcBorders>
              <w:left w:val="single" w:color="auto" w:sz="4" w:space="0"/>
              <w:bottom w:val="single" w:color="auto" w:sz="4" w:space="0"/>
              <w:right w:val="single" w:color="auto" w:sz="4" w:space="0"/>
            </w:tcBorders>
            <w:vAlign w:val="center"/>
          </w:tcPr>
          <w:p w14:paraId="6034FCBD">
            <w:pPr>
              <w:snapToGrid w:val="0"/>
              <w:spacing w:line="240" w:lineRule="auto"/>
              <w:rPr>
                <w:rFonts w:ascii="Times New Roman" w:hAnsi="Times New Roman"/>
                <w:sz w:val="18"/>
                <w:szCs w:val="18"/>
              </w:rPr>
            </w:pPr>
            <w:r>
              <w:rPr>
                <w:rFonts w:ascii="Times New Roman" w:hAnsi="Times New Roman"/>
                <w:sz w:val="18"/>
                <w:szCs w:val="18"/>
              </w:rPr>
              <w:t>村内道路、电网、物流、通信信号、公共设施等</w:t>
            </w:r>
            <w:r>
              <w:rPr>
                <w:rFonts w:hint="eastAsia" w:ascii="Times New Roman" w:hAnsi="Times New Roman"/>
                <w:sz w:val="18"/>
                <w:szCs w:val="18"/>
              </w:rPr>
              <w:t>。</w:t>
            </w:r>
          </w:p>
        </w:tc>
        <w:tc>
          <w:tcPr>
            <w:tcW w:w="3118" w:type="dxa"/>
            <w:tcBorders>
              <w:left w:val="single" w:color="auto" w:sz="4" w:space="0"/>
              <w:bottom w:val="single" w:color="auto" w:sz="4" w:space="0"/>
              <w:right w:val="single" w:color="auto" w:sz="4" w:space="0"/>
            </w:tcBorders>
            <w:vAlign w:val="center"/>
          </w:tcPr>
          <w:p w14:paraId="6BD0D199">
            <w:pPr>
              <w:snapToGrid w:val="0"/>
              <w:spacing w:line="240" w:lineRule="auto"/>
              <w:jc w:val="left"/>
              <w:rPr>
                <w:rFonts w:ascii="Times New Roman" w:hAnsi="Times New Roman"/>
                <w:sz w:val="18"/>
                <w:szCs w:val="18"/>
              </w:rPr>
            </w:pPr>
            <w:r>
              <w:rPr>
                <w:rFonts w:ascii="Times New Roman" w:hAnsi="Times New Roman"/>
                <w:color w:val="000000" w:themeColor="text1"/>
                <w:sz w:val="18"/>
                <w:szCs w:val="18"/>
                <w14:textFill>
                  <w14:solidFill>
                    <w14:schemeClr w14:val="tx1"/>
                  </w14:solidFill>
                </w14:textFill>
              </w:rPr>
              <w:t>列入</w:t>
            </w:r>
            <w:r>
              <w:rPr>
                <w:rFonts w:hint="eastAsia" w:ascii="Times New Roman" w:hAnsi="Times New Roman"/>
                <w:color w:val="000000" w:themeColor="text1"/>
                <w:sz w:val="18"/>
                <w:szCs w:val="18"/>
                <w14:textFill>
                  <w14:solidFill>
                    <w14:schemeClr w14:val="tx1"/>
                  </w14:solidFill>
                </w14:textFill>
              </w:rPr>
              <w:t>省部级相关</w:t>
            </w:r>
            <w:r>
              <w:rPr>
                <w:rFonts w:ascii="Times New Roman" w:hAnsi="Times New Roman"/>
                <w:color w:val="000000" w:themeColor="text1"/>
                <w:sz w:val="18"/>
                <w:szCs w:val="18"/>
                <w14:textFill>
                  <w14:solidFill>
                    <w14:schemeClr w14:val="tx1"/>
                  </w14:solidFill>
                </w14:textFill>
              </w:rPr>
              <w:t>工程，3分；</w:t>
            </w:r>
            <w:r>
              <w:rPr>
                <w:rFonts w:ascii="Times New Roman" w:hAnsi="Times New Roman"/>
                <w:sz w:val="18"/>
                <w:szCs w:val="18"/>
              </w:rPr>
              <w:t>进入</w:t>
            </w:r>
            <w:r>
              <w:rPr>
                <w:rFonts w:hint="eastAsia" w:ascii="Times New Roman" w:hAnsi="Times New Roman"/>
                <w:sz w:val="18"/>
                <w:szCs w:val="18"/>
              </w:rPr>
              <w:t>地市级相关</w:t>
            </w:r>
            <w:r>
              <w:rPr>
                <w:rFonts w:ascii="Times New Roman" w:hAnsi="Times New Roman"/>
                <w:sz w:val="18"/>
                <w:szCs w:val="18"/>
              </w:rPr>
              <w:t>工程，2分；进入</w:t>
            </w:r>
            <w:r>
              <w:rPr>
                <w:rFonts w:hint="eastAsia" w:ascii="Times New Roman" w:hAnsi="Times New Roman"/>
                <w:sz w:val="18"/>
                <w:szCs w:val="18"/>
              </w:rPr>
              <w:t>县市相关</w:t>
            </w:r>
            <w:r>
              <w:rPr>
                <w:rFonts w:ascii="Times New Roman" w:hAnsi="Times New Roman"/>
                <w:sz w:val="18"/>
                <w:szCs w:val="18"/>
              </w:rPr>
              <w:t>工程，1分；均没有进入</w:t>
            </w:r>
            <w:r>
              <w:rPr>
                <w:rFonts w:hint="eastAsia" w:ascii="Times New Roman" w:hAnsi="Times New Roman"/>
                <w:sz w:val="18"/>
                <w:szCs w:val="18"/>
              </w:rPr>
              <w:t>前述相关工程</w:t>
            </w:r>
            <w:r>
              <w:rPr>
                <w:rFonts w:ascii="Times New Roman" w:hAnsi="Times New Roman"/>
                <w:sz w:val="18"/>
                <w:szCs w:val="18"/>
              </w:rPr>
              <w:t>，但设施良好的，酌情给分，1-2分。</w:t>
            </w:r>
          </w:p>
        </w:tc>
        <w:tc>
          <w:tcPr>
            <w:tcW w:w="851" w:type="dxa"/>
            <w:tcBorders>
              <w:left w:val="single" w:color="auto" w:sz="4" w:space="0"/>
              <w:bottom w:val="single" w:color="auto" w:sz="4" w:space="0"/>
              <w:right w:val="single" w:color="auto" w:sz="4" w:space="0"/>
            </w:tcBorders>
            <w:vAlign w:val="center"/>
          </w:tcPr>
          <w:p w14:paraId="4505CCD9">
            <w:pPr>
              <w:snapToGrid w:val="0"/>
              <w:spacing w:line="240" w:lineRule="auto"/>
              <w:jc w:val="center"/>
              <w:rPr>
                <w:rFonts w:ascii="Times New Roman" w:hAnsi="Times New Roman"/>
                <w:sz w:val="18"/>
                <w:szCs w:val="18"/>
              </w:rPr>
            </w:pPr>
            <w:r>
              <w:rPr>
                <w:rFonts w:hint="eastAsia" w:ascii="Times New Roman" w:hAnsi="Times New Roman"/>
                <w:sz w:val="18"/>
                <w:szCs w:val="18"/>
              </w:rPr>
              <w:t>【0-3】</w:t>
            </w:r>
          </w:p>
        </w:tc>
      </w:tr>
      <w:tr w14:paraId="24EED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779" w:type="dxa"/>
            <w:vMerge w:val="continue"/>
            <w:tcBorders>
              <w:left w:val="single" w:color="auto" w:sz="4" w:space="0"/>
              <w:right w:val="single" w:color="auto" w:sz="4" w:space="0"/>
            </w:tcBorders>
          </w:tcPr>
          <w:p w14:paraId="63C4A9E5">
            <w:pPr>
              <w:snapToGrid w:val="0"/>
              <w:spacing w:line="240" w:lineRule="auto"/>
              <w:jc w:val="center"/>
              <w:rPr>
                <w:rFonts w:ascii="Times New Roman" w:hAnsi="Times New Roman"/>
                <w:sz w:val="18"/>
                <w:szCs w:val="18"/>
              </w:rPr>
            </w:pPr>
          </w:p>
        </w:tc>
        <w:tc>
          <w:tcPr>
            <w:tcW w:w="668" w:type="dxa"/>
            <w:vMerge w:val="continue"/>
            <w:tcBorders>
              <w:left w:val="single" w:color="auto" w:sz="4" w:space="0"/>
              <w:right w:val="single" w:color="auto" w:sz="4" w:space="0"/>
            </w:tcBorders>
            <w:vAlign w:val="center"/>
          </w:tcPr>
          <w:p w14:paraId="0AB6ADB5">
            <w:pPr>
              <w:snapToGrid w:val="0"/>
              <w:spacing w:line="240" w:lineRule="auto"/>
              <w:jc w:val="center"/>
              <w:rPr>
                <w:rFonts w:ascii="Times New Roman" w:hAnsi="Times New Roman"/>
                <w:sz w:val="18"/>
                <w:szCs w:val="18"/>
              </w:rPr>
            </w:pPr>
          </w:p>
        </w:tc>
        <w:tc>
          <w:tcPr>
            <w:tcW w:w="1559" w:type="dxa"/>
            <w:tcBorders>
              <w:top w:val="single" w:color="auto" w:sz="4" w:space="0"/>
              <w:left w:val="single" w:color="auto" w:sz="4" w:space="0"/>
              <w:right w:val="single" w:color="auto" w:sz="4" w:space="0"/>
            </w:tcBorders>
            <w:vAlign w:val="center"/>
          </w:tcPr>
          <w:p w14:paraId="1D32A15E">
            <w:pPr>
              <w:snapToGrid w:val="0"/>
              <w:spacing w:line="240" w:lineRule="auto"/>
              <w:jc w:val="center"/>
              <w:rPr>
                <w:rFonts w:ascii="Times New Roman" w:hAnsi="Times New Roman"/>
                <w:sz w:val="18"/>
                <w:szCs w:val="18"/>
              </w:rPr>
            </w:pPr>
            <w:r>
              <w:rPr>
                <w:rFonts w:ascii="Times New Roman" w:hAnsi="Times New Roman"/>
                <w:color w:val="000000" w:themeColor="text1"/>
                <w:sz w:val="18"/>
                <w:szCs w:val="18"/>
                <w14:textFill>
                  <w14:solidFill>
                    <w14:schemeClr w14:val="tx1"/>
                  </w14:solidFill>
                </w14:textFill>
              </w:rPr>
              <w:t>产业设施</w:t>
            </w:r>
          </w:p>
        </w:tc>
        <w:tc>
          <w:tcPr>
            <w:tcW w:w="2268" w:type="dxa"/>
            <w:tcBorders>
              <w:top w:val="single" w:color="auto" w:sz="4" w:space="0"/>
              <w:left w:val="single" w:color="auto" w:sz="4" w:space="0"/>
              <w:right w:val="single" w:color="auto" w:sz="4" w:space="0"/>
            </w:tcBorders>
            <w:vAlign w:val="center"/>
          </w:tcPr>
          <w:p w14:paraId="5CE85C0D">
            <w:pPr>
              <w:snapToGrid w:val="0"/>
              <w:spacing w:line="240" w:lineRule="auto"/>
              <w:rPr>
                <w:rFonts w:ascii="Times New Roman" w:hAnsi="Times New Roman"/>
                <w:sz w:val="18"/>
                <w:szCs w:val="18"/>
              </w:rPr>
            </w:pPr>
            <w:r>
              <w:rPr>
                <w:rFonts w:ascii="Times New Roman" w:hAnsi="Times New Roman"/>
                <w:sz w:val="18"/>
                <w:szCs w:val="18"/>
              </w:rPr>
              <w:t>自然</w:t>
            </w:r>
            <w:r>
              <w:rPr>
                <w:rFonts w:hint="eastAsia" w:ascii="Times New Roman" w:hAnsi="Times New Roman"/>
                <w:sz w:val="18"/>
                <w:szCs w:val="18"/>
              </w:rPr>
              <w:t>或</w:t>
            </w:r>
            <w:r>
              <w:rPr>
                <w:rFonts w:ascii="Times New Roman" w:hAnsi="Times New Roman"/>
                <w:sz w:val="18"/>
                <w:szCs w:val="18"/>
              </w:rPr>
              <w:t>人文景观、民宿、餐饮及旅游</w:t>
            </w:r>
            <w:r>
              <w:rPr>
                <w:rFonts w:hint="eastAsia" w:ascii="Times New Roman" w:hAnsi="Times New Roman"/>
                <w:sz w:val="18"/>
                <w:szCs w:val="18"/>
              </w:rPr>
              <w:t>等设施</w:t>
            </w:r>
            <w:r>
              <w:rPr>
                <w:rFonts w:ascii="Times New Roman" w:hAnsi="Times New Roman"/>
                <w:sz w:val="18"/>
                <w:szCs w:val="18"/>
              </w:rPr>
              <w:t>配套情况</w:t>
            </w:r>
            <w:r>
              <w:rPr>
                <w:rFonts w:hint="eastAsia" w:ascii="Times New Roman" w:hAnsi="Times New Roman"/>
                <w:sz w:val="18"/>
                <w:szCs w:val="18"/>
              </w:rPr>
              <w:t>。</w:t>
            </w:r>
          </w:p>
        </w:tc>
        <w:tc>
          <w:tcPr>
            <w:tcW w:w="3118" w:type="dxa"/>
            <w:tcBorders>
              <w:top w:val="single" w:color="auto" w:sz="4" w:space="0"/>
              <w:left w:val="single" w:color="auto" w:sz="4" w:space="0"/>
              <w:right w:val="single" w:color="auto" w:sz="4" w:space="0"/>
            </w:tcBorders>
            <w:vAlign w:val="center"/>
          </w:tcPr>
          <w:p w14:paraId="5920435A">
            <w:pPr>
              <w:snapToGrid w:val="0"/>
              <w:spacing w:line="240" w:lineRule="auto"/>
              <w:jc w:val="left"/>
              <w:rPr>
                <w:rFonts w:ascii="Times New Roman" w:hAnsi="Times New Roman"/>
                <w:sz w:val="18"/>
                <w:szCs w:val="18"/>
              </w:rPr>
            </w:pPr>
            <w:r>
              <w:rPr>
                <w:rFonts w:ascii="Times New Roman" w:hAnsi="Times New Roman"/>
                <w:color w:val="000000" w:themeColor="text1"/>
                <w:sz w:val="18"/>
                <w:szCs w:val="18"/>
                <w14:textFill>
                  <w14:solidFill>
                    <w14:schemeClr w14:val="tx1"/>
                  </w14:solidFill>
                </w14:textFill>
              </w:rPr>
              <w:t>获得</w:t>
            </w:r>
            <w:r>
              <w:rPr>
                <w:rFonts w:hint="eastAsia" w:ascii="Times New Roman" w:hAnsi="Times New Roman"/>
                <w:color w:val="000000" w:themeColor="text1"/>
                <w:sz w:val="18"/>
                <w:szCs w:val="18"/>
                <w14:textFill>
                  <w14:solidFill>
                    <w14:schemeClr w14:val="tx1"/>
                  </w14:solidFill>
                </w14:textFill>
              </w:rPr>
              <w:t>国家旅游局</w:t>
            </w:r>
            <w:r>
              <w:rPr>
                <w:rFonts w:ascii="Times New Roman" w:hAnsi="Times New Roman"/>
                <w:color w:val="000000" w:themeColor="text1"/>
                <w:sz w:val="18"/>
                <w:szCs w:val="18"/>
                <w14:textFill>
                  <w14:solidFill>
                    <w14:schemeClr w14:val="tx1"/>
                  </w14:solidFill>
                </w14:textFill>
              </w:rPr>
              <w:t>3A级及以上景区的，1.5分</w:t>
            </w:r>
            <w:r>
              <w:rPr>
                <w:rFonts w:ascii="Times New Roman" w:hAnsi="Times New Roman"/>
                <w:sz w:val="18"/>
                <w:szCs w:val="18"/>
              </w:rPr>
              <w:t>；</w:t>
            </w:r>
            <w:r>
              <w:rPr>
                <w:rFonts w:hint="eastAsia" w:ascii="Times New Roman" w:hAnsi="Times New Roman"/>
                <w:sz w:val="18"/>
                <w:szCs w:val="18"/>
              </w:rPr>
              <w:t>获得省部级及以上产业示范园的，1.5分；</w:t>
            </w:r>
            <w:r>
              <w:rPr>
                <w:rFonts w:ascii="Times New Roman" w:hAnsi="Times New Roman"/>
                <w:sz w:val="18"/>
                <w:szCs w:val="18"/>
              </w:rPr>
              <w:t>没有</w:t>
            </w:r>
            <w:r>
              <w:rPr>
                <w:rFonts w:hint="eastAsia" w:ascii="Times New Roman" w:hAnsi="Times New Roman"/>
                <w:sz w:val="18"/>
                <w:szCs w:val="18"/>
              </w:rPr>
              <w:t>前述</w:t>
            </w:r>
            <w:r>
              <w:rPr>
                <w:rFonts w:ascii="Times New Roman" w:hAnsi="Times New Roman"/>
                <w:sz w:val="18"/>
                <w:szCs w:val="18"/>
              </w:rPr>
              <w:t>称号的，按</w:t>
            </w:r>
            <w:r>
              <w:rPr>
                <w:rFonts w:hint="eastAsia" w:ascii="Times New Roman" w:hAnsi="Times New Roman"/>
                <w:sz w:val="18"/>
                <w:szCs w:val="18"/>
              </w:rPr>
              <w:t>产业设施条件</w:t>
            </w:r>
            <w:r>
              <w:rPr>
                <w:rFonts w:ascii="Times New Roman" w:hAnsi="Times New Roman"/>
                <w:sz w:val="18"/>
                <w:szCs w:val="18"/>
              </w:rPr>
              <w:t>酌情给分，</w:t>
            </w:r>
            <w:r>
              <w:rPr>
                <w:rFonts w:hint="eastAsia" w:ascii="Times New Roman" w:hAnsi="Times New Roman"/>
                <w:sz w:val="18"/>
                <w:szCs w:val="18"/>
              </w:rPr>
              <w:t>0.5-1</w:t>
            </w:r>
            <w:r>
              <w:rPr>
                <w:rFonts w:ascii="Times New Roman" w:hAnsi="Times New Roman"/>
                <w:sz w:val="18"/>
                <w:szCs w:val="18"/>
              </w:rPr>
              <w:t>分。</w:t>
            </w:r>
          </w:p>
        </w:tc>
        <w:tc>
          <w:tcPr>
            <w:tcW w:w="851" w:type="dxa"/>
            <w:tcBorders>
              <w:top w:val="single" w:color="auto" w:sz="4" w:space="0"/>
              <w:left w:val="single" w:color="auto" w:sz="4" w:space="0"/>
              <w:right w:val="single" w:color="auto" w:sz="4" w:space="0"/>
            </w:tcBorders>
            <w:vAlign w:val="center"/>
          </w:tcPr>
          <w:p w14:paraId="45C4AB5D">
            <w:pPr>
              <w:snapToGrid w:val="0"/>
              <w:spacing w:line="240" w:lineRule="auto"/>
              <w:jc w:val="center"/>
              <w:rPr>
                <w:rFonts w:ascii="Times New Roman" w:hAnsi="Times New Roman"/>
                <w:sz w:val="18"/>
                <w:szCs w:val="18"/>
              </w:rPr>
            </w:pPr>
            <w:r>
              <w:rPr>
                <w:rFonts w:hint="eastAsia" w:ascii="Times New Roman" w:hAnsi="Times New Roman"/>
                <w:sz w:val="18"/>
                <w:szCs w:val="18"/>
              </w:rPr>
              <w:t>【0-3】</w:t>
            </w:r>
          </w:p>
        </w:tc>
      </w:tr>
      <w:tr w14:paraId="61F45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779" w:type="dxa"/>
            <w:vMerge w:val="continue"/>
            <w:tcBorders>
              <w:left w:val="single" w:color="auto" w:sz="4" w:space="0"/>
              <w:right w:val="single" w:color="auto" w:sz="4" w:space="0"/>
            </w:tcBorders>
          </w:tcPr>
          <w:p w14:paraId="799BF39C">
            <w:pPr>
              <w:snapToGrid w:val="0"/>
              <w:spacing w:line="240" w:lineRule="auto"/>
              <w:jc w:val="center"/>
              <w:rPr>
                <w:rFonts w:ascii="Times New Roman" w:hAnsi="Times New Roman"/>
                <w:sz w:val="18"/>
                <w:szCs w:val="18"/>
              </w:rPr>
            </w:pPr>
          </w:p>
        </w:tc>
        <w:tc>
          <w:tcPr>
            <w:tcW w:w="668" w:type="dxa"/>
            <w:vMerge w:val="continue"/>
            <w:tcBorders>
              <w:left w:val="single" w:color="auto" w:sz="4" w:space="0"/>
              <w:right w:val="single" w:color="auto" w:sz="4" w:space="0"/>
            </w:tcBorders>
            <w:vAlign w:val="center"/>
          </w:tcPr>
          <w:p w14:paraId="6EDD9165">
            <w:pPr>
              <w:snapToGrid w:val="0"/>
              <w:spacing w:line="240" w:lineRule="auto"/>
              <w:jc w:val="center"/>
              <w:rPr>
                <w:rFonts w:ascii="Times New Roman" w:hAnsi="Times New Roman"/>
                <w:sz w:val="18"/>
                <w:szCs w:val="18"/>
              </w:rPr>
            </w:pPr>
          </w:p>
        </w:tc>
        <w:tc>
          <w:tcPr>
            <w:tcW w:w="1559" w:type="dxa"/>
            <w:tcBorders>
              <w:top w:val="single" w:color="auto" w:sz="4" w:space="0"/>
              <w:left w:val="single" w:color="auto" w:sz="4" w:space="0"/>
              <w:bottom w:val="single" w:color="auto" w:sz="4" w:space="0"/>
              <w:right w:val="single" w:color="auto" w:sz="4" w:space="0"/>
            </w:tcBorders>
            <w:vAlign w:val="center"/>
          </w:tcPr>
          <w:p w14:paraId="451FB4EB">
            <w:pPr>
              <w:snapToGrid w:val="0"/>
              <w:spacing w:line="240" w:lineRule="auto"/>
              <w:jc w:val="center"/>
              <w:rPr>
                <w:rFonts w:ascii="Times New Roman" w:hAnsi="Times New Roman"/>
                <w:sz w:val="18"/>
                <w:szCs w:val="18"/>
              </w:rPr>
            </w:pPr>
            <w:r>
              <w:rPr>
                <w:rFonts w:ascii="Times New Roman" w:hAnsi="Times New Roman"/>
                <w:sz w:val="18"/>
                <w:szCs w:val="18"/>
              </w:rPr>
              <w:t>数字化建设</w:t>
            </w:r>
          </w:p>
        </w:tc>
        <w:tc>
          <w:tcPr>
            <w:tcW w:w="2268" w:type="dxa"/>
            <w:tcBorders>
              <w:top w:val="single" w:color="auto" w:sz="4" w:space="0"/>
              <w:left w:val="single" w:color="auto" w:sz="4" w:space="0"/>
              <w:bottom w:val="single" w:color="auto" w:sz="4" w:space="0"/>
              <w:right w:val="single" w:color="auto" w:sz="4" w:space="0"/>
            </w:tcBorders>
            <w:vAlign w:val="center"/>
          </w:tcPr>
          <w:p w14:paraId="1A23CFE9">
            <w:pPr>
              <w:snapToGrid w:val="0"/>
              <w:spacing w:line="240" w:lineRule="auto"/>
              <w:rPr>
                <w:rFonts w:ascii="Times New Roman" w:hAnsi="Times New Roman"/>
                <w:sz w:val="18"/>
                <w:szCs w:val="18"/>
              </w:rPr>
            </w:pPr>
            <w:r>
              <w:rPr>
                <w:rFonts w:ascii="Times New Roman" w:hAnsi="Times New Roman"/>
                <w:sz w:val="18"/>
                <w:szCs w:val="18"/>
              </w:rPr>
              <w:t>三网（宽带通信网、移动互联网、数字电视网）覆盖情况；数字大脑的应用情况</w:t>
            </w:r>
            <w:r>
              <w:rPr>
                <w:rFonts w:hint="eastAsia" w:ascii="Times New Roman" w:hAnsi="Times New Roman"/>
                <w:sz w:val="18"/>
                <w:szCs w:val="18"/>
              </w:rPr>
              <w:t>。</w:t>
            </w:r>
          </w:p>
        </w:tc>
        <w:tc>
          <w:tcPr>
            <w:tcW w:w="3118" w:type="dxa"/>
            <w:tcBorders>
              <w:top w:val="single" w:color="auto" w:sz="4" w:space="0"/>
              <w:left w:val="single" w:color="auto" w:sz="4" w:space="0"/>
              <w:bottom w:val="single" w:color="auto" w:sz="4" w:space="0"/>
              <w:right w:val="single" w:color="auto" w:sz="4" w:space="0"/>
            </w:tcBorders>
            <w:vAlign w:val="center"/>
          </w:tcPr>
          <w:p w14:paraId="6AEBD3F7">
            <w:pPr>
              <w:snapToGrid w:val="0"/>
              <w:spacing w:line="240" w:lineRule="auto"/>
              <w:rPr>
                <w:rFonts w:ascii="Times New Roman" w:hAnsi="Times New Roman"/>
                <w:sz w:val="18"/>
                <w:szCs w:val="18"/>
              </w:rPr>
            </w:pPr>
            <w:r>
              <w:rPr>
                <w:rFonts w:ascii="Times New Roman" w:hAnsi="Times New Roman"/>
                <w:color w:val="000000" w:themeColor="text1"/>
                <w:sz w:val="18"/>
                <w:szCs w:val="18"/>
                <w14:textFill>
                  <w14:solidFill>
                    <w14:schemeClr w14:val="tx1"/>
                  </w14:solidFill>
                </w14:textFill>
              </w:rPr>
              <w:t>列入数字</w:t>
            </w:r>
            <w:r>
              <w:rPr>
                <w:rFonts w:hint="eastAsia" w:ascii="Times New Roman" w:hAnsi="Times New Roman"/>
                <w:color w:val="000000" w:themeColor="text1"/>
                <w:sz w:val="18"/>
                <w:szCs w:val="18"/>
                <w14:textFill>
                  <w14:solidFill>
                    <w14:schemeClr w14:val="tx1"/>
                  </w14:solidFill>
                </w14:textFill>
              </w:rPr>
              <w:t>化</w:t>
            </w:r>
            <w:r>
              <w:rPr>
                <w:rFonts w:ascii="Times New Roman" w:hAnsi="Times New Roman"/>
                <w:color w:val="000000" w:themeColor="text1"/>
                <w:sz w:val="18"/>
                <w:szCs w:val="18"/>
                <w14:textFill>
                  <w14:solidFill>
                    <w14:schemeClr w14:val="tx1"/>
                  </w14:solidFill>
                </w14:textFill>
              </w:rPr>
              <w:t>建设</w:t>
            </w:r>
            <w:r>
              <w:rPr>
                <w:rFonts w:hint="eastAsia" w:ascii="Times New Roman" w:hAnsi="Times New Roman"/>
                <w:color w:val="000000" w:themeColor="text1"/>
                <w:sz w:val="18"/>
                <w:szCs w:val="18"/>
                <w14:textFill>
                  <w14:solidFill>
                    <w14:schemeClr w14:val="tx1"/>
                  </w14:solidFill>
                </w14:textFill>
              </w:rPr>
              <w:t>相关工程</w:t>
            </w:r>
            <w:r>
              <w:rPr>
                <w:rFonts w:ascii="Times New Roman" w:hAnsi="Times New Roman"/>
                <w:color w:val="000000" w:themeColor="text1"/>
                <w:sz w:val="18"/>
                <w:szCs w:val="18"/>
                <w14:textFill>
                  <w14:solidFill>
                    <w14:schemeClr w14:val="tx1"/>
                  </w14:solidFill>
                </w14:textFill>
              </w:rPr>
              <w:t>的，3分；未</w:t>
            </w:r>
            <w:r>
              <w:rPr>
                <w:rFonts w:ascii="Times New Roman" w:hAnsi="Times New Roman"/>
                <w:sz w:val="18"/>
                <w:szCs w:val="18"/>
              </w:rPr>
              <w:t>列入的，视</w:t>
            </w:r>
            <w:r>
              <w:rPr>
                <w:rFonts w:hint="eastAsia" w:ascii="Times New Roman" w:hAnsi="Times New Roman"/>
                <w:sz w:val="18"/>
                <w:szCs w:val="18"/>
              </w:rPr>
              <w:t>前</w:t>
            </w:r>
            <w:r>
              <w:rPr>
                <w:rFonts w:ascii="Times New Roman" w:hAnsi="Times New Roman"/>
                <w:sz w:val="18"/>
                <w:szCs w:val="18"/>
              </w:rPr>
              <w:t>述指标</w:t>
            </w:r>
            <w:r>
              <w:rPr>
                <w:rFonts w:hint="eastAsia" w:ascii="Times New Roman" w:hAnsi="Times New Roman"/>
                <w:sz w:val="18"/>
                <w:szCs w:val="18"/>
              </w:rPr>
              <w:t>建设情况</w:t>
            </w:r>
            <w:r>
              <w:rPr>
                <w:rFonts w:ascii="Times New Roman" w:hAnsi="Times New Roman"/>
                <w:sz w:val="18"/>
                <w:szCs w:val="18"/>
              </w:rPr>
              <w:t>酌情给分，1-2分。</w:t>
            </w:r>
          </w:p>
        </w:tc>
        <w:tc>
          <w:tcPr>
            <w:tcW w:w="851" w:type="dxa"/>
            <w:tcBorders>
              <w:top w:val="single" w:color="auto" w:sz="4" w:space="0"/>
              <w:left w:val="single" w:color="auto" w:sz="4" w:space="0"/>
              <w:bottom w:val="single" w:color="auto" w:sz="4" w:space="0"/>
              <w:right w:val="single" w:color="auto" w:sz="4" w:space="0"/>
            </w:tcBorders>
            <w:vAlign w:val="center"/>
          </w:tcPr>
          <w:p w14:paraId="742F9F04">
            <w:pPr>
              <w:snapToGrid w:val="0"/>
              <w:spacing w:line="240" w:lineRule="auto"/>
              <w:jc w:val="center"/>
              <w:rPr>
                <w:rFonts w:ascii="Times New Roman" w:hAnsi="Times New Roman"/>
                <w:sz w:val="18"/>
                <w:szCs w:val="18"/>
              </w:rPr>
            </w:pPr>
            <w:r>
              <w:rPr>
                <w:rFonts w:hint="eastAsia" w:ascii="Times New Roman" w:hAnsi="Times New Roman"/>
                <w:sz w:val="18"/>
                <w:szCs w:val="18"/>
              </w:rPr>
              <w:t>【0-3】</w:t>
            </w:r>
          </w:p>
        </w:tc>
      </w:tr>
      <w:tr w14:paraId="05F03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79" w:type="dxa"/>
            <w:vMerge w:val="restart"/>
            <w:tcBorders>
              <w:left w:val="single" w:color="auto" w:sz="4" w:space="0"/>
              <w:right w:val="single" w:color="auto" w:sz="4" w:space="0"/>
            </w:tcBorders>
            <w:vAlign w:val="center"/>
          </w:tcPr>
          <w:p w14:paraId="50F3242D">
            <w:pPr>
              <w:pStyle w:val="6"/>
              <w:tabs>
                <w:tab w:val="center" w:pos="4201"/>
                <w:tab w:val="right" w:leader="dot" w:pos="9298"/>
              </w:tabs>
              <w:autoSpaceDE w:val="0"/>
              <w:autoSpaceDN w:val="0"/>
              <w:adjustRightInd w:val="0"/>
              <w:snapToGrid w:val="0"/>
              <w:spacing w:before="0" w:beforeAutospacing="0" w:after="0" w:afterAutospacing="0"/>
              <w:jc w:val="center"/>
              <w:rPr>
                <w:rFonts w:ascii="Times New Roman" w:hAnsi="Times New Roman" w:cs="Times New Roman"/>
                <w:b/>
                <w:bCs/>
                <w:kern w:val="2"/>
                <w:sz w:val="21"/>
                <w:szCs w:val="21"/>
              </w:rPr>
            </w:pPr>
          </w:p>
          <w:p w14:paraId="08274B63">
            <w:pPr>
              <w:pStyle w:val="6"/>
              <w:tabs>
                <w:tab w:val="center" w:pos="4201"/>
                <w:tab w:val="right" w:leader="dot" w:pos="9298"/>
              </w:tabs>
              <w:autoSpaceDE w:val="0"/>
              <w:autoSpaceDN w:val="0"/>
              <w:adjustRightInd w:val="0"/>
              <w:snapToGrid w:val="0"/>
              <w:spacing w:before="0" w:beforeAutospacing="0" w:after="0" w:afterAutospacing="0"/>
              <w:jc w:val="center"/>
              <w:rPr>
                <w:rFonts w:ascii="Times New Roman" w:hAnsi="Times New Roman" w:cs="Times New Roman"/>
                <w:b/>
                <w:bCs/>
                <w:kern w:val="2"/>
                <w:sz w:val="21"/>
                <w:szCs w:val="21"/>
              </w:rPr>
            </w:pPr>
          </w:p>
          <w:p w14:paraId="5705C669">
            <w:pPr>
              <w:pStyle w:val="6"/>
              <w:tabs>
                <w:tab w:val="center" w:pos="4201"/>
                <w:tab w:val="right" w:leader="dot" w:pos="9298"/>
              </w:tabs>
              <w:autoSpaceDE w:val="0"/>
              <w:autoSpaceDN w:val="0"/>
              <w:adjustRightInd w:val="0"/>
              <w:snapToGrid w:val="0"/>
              <w:spacing w:before="0" w:beforeAutospacing="0" w:after="0" w:afterAutospacing="0"/>
              <w:jc w:val="center"/>
              <w:rPr>
                <w:rFonts w:ascii="Times New Roman" w:hAnsi="Times New Roman" w:cs="Times New Roman"/>
                <w:b/>
                <w:bCs/>
                <w:kern w:val="2"/>
                <w:sz w:val="21"/>
                <w:szCs w:val="21"/>
              </w:rPr>
            </w:pPr>
          </w:p>
          <w:p w14:paraId="782BD907">
            <w:pPr>
              <w:pStyle w:val="6"/>
              <w:tabs>
                <w:tab w:val="center" w:pos="4201"/>
                <w:tab w:val="right" w:leader="dot" w:pos="9298"/>
              </w:tabs>
              <w:autoSpaceDE w:val="0"/>
              <w:autoSpaceDN w:val="0"/>
              <w:adjustRightInd w:val="0"/>
              <w:snapToGrid w:val="0"/>
              <w:spacing w:before="0" w:beforeAutospacing="0" w:after="0" w:afterAutospacing="0"/>
              <w:jc w:val="center"/>
              <w:rPr>
                <w:rFonts w:ascii="Times New Roman" w:hAnsi="Times New Roman" w:cs="Times New Roman"/>
                <w:b/>
                <w:bCs/>
                <w:kern w:val="2"/>
                <w:sz w:val="21"/>
                <w:szCs w:val="21"/>
              </w:rPr>
            </w:pPr>
          </w:p>
          <w:p w14:paraId="79045D70">
            <w:pPr>
              <w:pStyle w:val="6"/>
              <w:tabs>
                <w:tab w:val="center" w:pos="4201"/>
                <w:tab w:val="right" w:leader="dot" w:pos="9298"/>
              </w:tabs>
              <w:autoSpaceDE w:val="0"/>
              <w:autoSpaceDN w:val="0"/>
              <w:adjustRightInd w:val="0"/>
              <w:snapToGrid w:val="0"/>
              <w:spacing w:before="0" w:beforeAutospacing="0" w:after="0" w:afterAutospacing="0"/>
              <w:jc w:val="center"/>
              <w:rPr>
                <w:rFonts w:ascii="Times New Roman" w:hAnsi="Times New Roman" w:cs="Times New Roman"/>
                <w:b/>
                <w:bCs/>
                <w:kern w:val="2"/>
                <w:sz w:val="21"/>
                <w:szCs w:val="21"/>
              </w:rPr>
            </w:pPr>
          </w:p>
          <w:p w14:paraId="53906CBA">
            <w:pPr>
              <w:pStyle w:val="6"/>
              <w:tabs>
                <w:tab w:val="center" w:pos="4201"/>
                <w:tab w:val="right" w:leader="dot" w:pos="9298"/>
              </w:tabs>
              <w:autoSpaceDE w:val="0"/>
              <w:autoSpaceDN w:val="0"/>
              <w:adjustRightInd w:val="0"/>
              <w:snapToGrid w:val="0"/>
              <w:spacing w:before="0" w:beforeAutospacing="0" w:after="0" w:afterAutospacing="0"/>
              <w:jc w:val="center"/>
              <w:rPr>
                <w:rFonts w:ascii="Times New Roman" w:hAnsi="Times New Roman" w:cs="Times New Roman"/>
                <w:b/>
                <w:bCs/>
                <w:kern w:val="2"/>
                <w:sz w:val="21"/>
                <w:szCs w:val="21"/>
              </w:rPr>
            </w:pPr>
          </w:p>
          <w:p w14:paraId="4FFCAF8E">
            <w:pPr>
              <w:pStyle w:val="6"/>
              <w:tabs>
                <w:tab w:val="center" w:pos="4201"/>
                <w:tab w:val="right" w:leader="dot" w:pos="9298"/>
              </w:tabs>
              <w:autoSpaceDE w:val="0"/>
              <w:autoSpaceDN w:val="0"/>
              <w:adjustRightInd w:val="0"/>
              <w:snapToGrid w:val="0"/>
              <w:spacing w:before="0" w:beforeAutospacing="0" w:after="0" w:afterAutospacing="0"/>
              <w:jc w:val="center"/>
              <w:rPr>
                <w:rFonts w:ascii="Times New Roman" w:hAnsi="Times New Roman" w:cs="Times New Roman"/>
                <w:b/>
                <w:bCs/>
                <w:kern w:val="2"/>
                <w:sz w:val="21"/>
                <w:szCs w:val="21"/>
              </w:rPr>
            </w:pPr>
          </w:p>
          <w:p w14:paraId="4E26655B">
            <w:pPr>
              <w:pStyle w:val="6"/>
              <w:tabs>
                <w:tab w:val="center" w:pos="4201"/>
                <w:tab w:val="right" w:leader="dot" w:pos="9298"/>
              </w:tabs>
              <w:autoSpaceDE w:val="0"/>
              <w:autoSpaceDN w:val="0"/>
              <w:adjustRightInd w:val="0"/>
              <w:snapToGrid w:val="0"/>
              <w:spacing w:before="0" w:beforeAutospacing="0" w:after="0" w:afterAutospacing="0"/>
              <w:jc w:val="center"/>
              <w:rPr>
                <w:rFonts w:ascii="Times New Roman" w:hAnsi="Times New Roman" w:cs="Times New Roman"/>
                <w:b/>
                <w:bCs/>
                <w:kern w:val="2"/>
                <w:sz w:val="21"/>
                <w:szCs w:val="21"/>
              </w:rPr>
            </w:pPr>
          </w:p>
          <w:p w14:paraId="09E1788D">
            <w:pPr>
              <w:pStyle w:val="6"/>
              <w:tabs>
                <w:tab w:val="center" w:pos="4201"/>
                <w:tab w:val="right" w:leader="dot" w:pos="9298"/>
              </w:tabs>
              <w:autoSpaceDE w:val="0"/>
              <w:autoSpaceDN w:val="0"/>
              <w:adjustRightInd w:val="0"/>
              <w:snapToGrid w:val="0"/>
              <w:spacing w:before="0" w:beforeAutospacing="0" w:after="0" w:afterAutospacing="0"/>
              <w:jc w:val="center"/>
              <w:rPr>
                <w:rFonts w:ascii="Times New Roman" w:hAnsi="Times New Roman" w:cs="Times New Roman"/>
                <w:b/>
                <w:bCs/>
                <w:kern w:val="2"/>
                <w:sz w:val="21"/>
                <w:szCs w:val="21"/>
              </w:rPr>
            </w:pPr>
          </w:p>
          <w:p w14:paraId="4E358546">
            <w:pPr>
              <w:pStyle w:val="6"/>
              <w:tabs>
                <w:tab w:val="center" w:pos="4201"/>
                <w:tab w:val="right" w:leader="dot" w:pos="9298"/>
              </w:tabs>
              <w:autoSpaceDE w:val="0"/>
              <w:autoSpaceDN w:val="0"/>
              <w:adjustRightInd w:val="0"/>
              <w:snapToGrid w:val="0"/>
              <w:spacing w:before="0" w:beforeAutospacing="0" w:after="0" w:afterAutospacing="0"/>
              <w:jc w:val="center"/>
              <w:rPr>
                <w:rFonts w:ascii="Times New Roman" w:hAnsi="Times New Roman" w:cs="Times New Roman"/>
                <w:b/>
                <w:bCs/>
                <w:kern w:val="2"/>
                <w:sz w:val="21"/>
                <w:szCs w:val="21"/>
              </w:rPr>
            </w:pPr>
          </w:p>
          <w:p w14:paraId="3D87CA8B">
            <w:pPr>
              <w:pStyle w:val="6"/>
              <w:tabs>
                <w:tab w:val="center" w:pos="4201"/>
                <w:tab w:val="right" w:leader="dot" w:pos="9298"/>
              </w:tabs>
              <w:autoSpaceDE w:val="0"/>
              <w:autoSpaceDN w:val="0"/>
              <w:adjustRightInd w:val="0"/>
              <w:snapToGrid w:val="0"/>
              <w:spacing w:before="0" w:beforeAutospacing="0" w:after="0" w:afterAutospacing="0"/>
              <w:jc w:val="center"/>
              <w:rPr>
                <w:rFonts w:ascii="Times New Roman" w:hAnsi="Times New Roman" w:cs="Times New Roman"/>
                <w:b/>
                <w:bCs/>
                <w:kern w:val="2"/>
                <w:sz w:val="21"/>
                <w:szCs w:val="21"/>
              </w:rPr>
            </w:pPr>
          </w:p>
          <w:p w14:paraId="5D2D97F3">
            <w:pPr>
              <w:pStyle w:val="6"/>
              <w:tabs>
                <w:tab w:val="center" w:pos="4201"/>
                <w:tab w:val="right" w:leader="dot" w:pos="9298"/>
              </w:tabs>
              <w:autoSpaceDE w:val="0"/>
              <w:autoSpaceDN w:val="0"/>
              <w:adjustRightInd w:val="0"/>
              <w:snapToGrid w:val="0"/>
              <w:spacing w:before="0" w:beforeAutospacing="0" w:after="0" w:afterAutospacing="0"/>
              <w:jc w:val="center"/>
              <w:rPr>
                <w:rFonts w:ascii="Times New Roman" w:hAnsi="Times New Roman"/>
                <w:sz w:val="18"/>
                <w:szCs w:val="18"/>
              </w:rPr>
            </w:pPr>
            <w:r>
              <w:rPr>
                <w:rFonts w:hint="eastAsia" w:ascii="Times New Roman" w:hAnsi="Times New Roman" w:cs="Times New Roman"/>
                <w:b/>
                <w:bCs/>
                <w:kern w:val="2"/>
                <w:sz w:val="21"/>
                <w:szCs w:val="21"/>
              </w:rPr>
              <w:t>品牌强度要素</w:t>
            </w:r>
          </w:p>
        </w:tc>
        <w:tc>
          <w:tcPr>
            <w:tcW w:w="668" w:type="dxa"/>
            <w:vMerge w:val="restart"/>
            <w:tcBorders>
              <w:left w:val="single" w:color="auto" w:sz="4" w:space="0"/>
              <w:right w:val="single" w:color="auto" w:sz="4" w:space="0"/>
            </w:tcBorders>
            <w:vAlign w:val="center"/>
          </w:tcPr>
          <w:p w14:paraId="392B1CF2">
            <w:pPr>
              <w:snapToGrid w:val="0"/>
              <w:spacing w:line="240" w:lineRule="auto"/>
              <w:jc w:val="center"/>
              <w:rPr>
                <w:rFonts w:ascii="Times New Roman" w:hAnsi="Times New Roman"/>
                <w:b/>
                <w:bCs/>
                <w:sz w:val="18"/>
                <w:szCs w:val="18"/>
              </w:rPr>
            </w:pPr>
            <w:r>
              <w:rPr>
                <w:rFonts w:hint="eastAsia" w:ascii="Times New Roman" w:hAnsi="Times New Roman"/>
                <w:b/>
                <w:bCs/>
                <w:sz w:val="18"/>
                <w:szCs w:val="18"/>
              </w:rPr>
              <w:t>品牌规划</w:t>
            </w:r>
          </w:p>
        </w:tc>
        <w:tc>
          <w:tcPr>
            <w:tcW w:w="1559" w:type="dxa"/>
            <w:tcBorders>
              <w:top w:val="single" w:color="auto" w:sz="4" w:space="0"/>
              <w:left w:val="single" w:color="auto" w:sz="4" w:space="0"/>
              <w:bottom w:val="single" w:color="auto" w:sz="4" w:space="0"/>
              <w:right w:val="single" w:color="auto" w:sz="4" w:space="0"/>
            </w:tcBorders>
            <w:vAlign w:val="center"/>
          </w:tcPr>
          <w:p w14:paraId="7B057198">
            <w:pPr>
              <w:snapToGrid w:val="0"/>
              <w:spacing w:line="240" w:lineRule="auto"/>
              <w:jc w:val="center"/>
              <w:rPr>
                <w:rFonts w:ascii="Times New Roman" w:hAnsi="Times New Roman"/>
                <w:sz w:val="18"/>
                <w:szCs w:val="18"/>
              </w:rPr>
            </w:pPr>
            <w:r>
              <w:rPr>
                <w:rFonts w:ascii="Times New Roman" w:hAnsi="Times New Roman"/>
                <w:sz w:val="18"/>
                <w:szCs w:val="18"/>
              </w:rPr>
              <w:t>品牌</w:t>
            </w:r>
            <w:r>
              <w:rPr>
                <w:rFonts w:hint="eastAsia" w:ascii="Times New Roman" w:hAnsi="Times New Roman"/>
                <w:sz w:val="18"/>
                <w:szCs w:val="18"/>
              </w:rPr>
              <w:t>乡村</w:t>
            </w:r>
          </w:p>
          <w:p w14:paraId="46023752">
            <w:pPr>
              <w:snapToGrid w:val="0"/>
              <w:spacing w:line="240" w:lineRule="auto"/>
              <w:jc w:val="center"/>
              <w:rPr>
                <w:rFonts w:ascii="Times New Roman" w:hAnsi="Times New Roman"/>
                <w:sz w:val="18"/>
                <w:szCs w:val="18"/>
              </w:rPr>
            </w:pPr>
            <w:r>
              <w:rPr>
                <w:rFonts w:hint="eastAsia" w:ascii="Times New Roman" w:hAnsi="Times New Roman"/>
                <w:sz w:val="18"/>
                <w:szCs w:val="18"/>
              </w:rPr>
              <w:t>建设</w:t>
            </w:r>
            <w:r>
              <w:rPr>
                <w:rFonts w:ascii="Times New Roman" w:hAnsi="Times New Roman"/>
                <w:sz w:val="18"/>
                <w:szCs w:val="18"/>
              </w:rPr>
              <w:t>规划</w:t>
            </w:r>
          </w:p>
        </w:tc>
        <w:tc>
          <w:tcPr>
            <w:tcW w:w="2268" w:type="dxa"/>
            <w:tcBorders>
              <w:top w:val="single" w:color="auto" w:sz="4" w:space="0"/>
              <w:left w:val="single" w:color="auto" w:sz="4" w:space="0"/>
              <w:bottom w:val="single" w:color="auto" w:sz="4" w:space="0"/>
              <w:right w:val="single" w:color="auto" w:sz="4" w:space="0"/>
            </w:tcBorders>
            <w:vAlign w:val="center"/>
          </w:tcPr>
          <w:p w14:paraId="5E112299">
            <w:pPr>
              <w:tabs>
                <w:tab w:val="center" w:pos="4153"/>
              </w:tabs>
              <w:snapToGrid w:val="0"/>
              <w:spacing w:line="240" w:lineRule="auto"/>
              <w:rPr>
                <w:rFonts w:ascii="Times New Roman" w:hAnsi="Times New Roman"/>
                <w:sz w:val="18"/>
                <w:szCs w:val="18"/>
              </w:rPr>
            </w:pPr>
            <w:r>
              <w:rPr>
                <w:rFonts w:hint="eastAsia" w:ascii="Times New Roman" w:hAnsi="Times New Roman"/>
                <w:sz w:val="18"/>
                <w:szCs w:val="18"/>
              </w:rPr>
              <w:t>有科学、系统、严谨的品牌乡村建设规划。</w:t>
            </w:r>
          </w:p>
        </w:tc>
        <w:tc>
          <w:tcPr>
            <w:tcW w:w="3118" w:type="dxa"/>
            <w:tcBorders>
              <w:top w:val="single" w:color="auto" w:sz="4" w:space="0"/>
              <w:left w:val="single" w:color="auto" w:sz="4" w:space="0"/>
              <w:bottom w:val="single" w:color="auto" w:sz="4" w:space="0"/>
              <w:right w:val="single" w:color="auto" w:sz="4" w:space="0"/>
            </w:tcBorders>
            <w:vAlign w:val="center"/>
          </w:tcPr>
          <w:p w14:paraId="5269314E">
            <w:pPr>
              <w:snapToGrid w:val="0"/>
              <w:spacing w:line="240" w:lineRule="auto"/>
              <w:rPr>
                <w:rFonts w:ascii="Times New Roman" w:hAnsi="Times New Roman"/>
                <w:color w:val="000000" w:themeColor="text1"/>
                <w:sz w:val="18"/>
                <w:szCs w:val="18"/>
                <w14:textFill>
                  <w14:solidFill>
                    <w14:schemeClr w14:val="tx1"/>
                  </w14:solidFill>
                </w14:textFill>
              </w:rPr>
            </w:pPr>
            <w:r>
              <w:rPr>
                <w:rFonts w:ascii="Times New Roman" w:hAnsi="Times New Roman"/>
                <w:sz w:val="18"/>
                <w:szCs w:val="18"/>
              </w:rPr>
              <w:t>有</w:t>
            </w:r>
            <w:r>
              <w:rPr>
                <w:rFonts w:hint="eastAsia" w:ascii="Times New Roman" w:hAnsi="Times New Roman"/>
                <w:sz w:val="18"/>
                <w:szCs w:val="18"/>
              </w:rPr>
              <w:t>完整</w:t>
            </w:r>
            <w:r>
              <w:rPr>
                <w:rFonts w:ascii="Times New Roman" w:hAnsi="Times New Roman"/>
                <w:sz w:val="18"/>
                <w:szCs w:val="18"/>
              </w:rPr>
              <w:t>科学</w:t>
            </w:r>
            <w:r>
              <w:rPr>
                <w:rFonts w:hint="eastAsia" w:ascii="Times New Roman" w:hAnsi="Times New Roman"/>
                <w:sz w:val="18"/>
                <w:szCs w:val="18"/>
              </w:rPr>
              <w:t>的</w:t>
            </w:r>
            <w:r>
              <w:rPr>
                <w:rFonts w:ascii="Times New Roman" w:hAnsi="Times New Roman"/>
                <w:sz w:val="18"/>
                <w:szCs w:val="18"/>
              </w:rPr>
              <w:t>规划，5分；有规划，但不系统，3分；无规划，0分</w:t>
            </w:r>
            <w:r>
              <w:rPr>
                <w:rFonts w:hint="eastAsia" w:ascii="Times New Roman" w:hAnsi="Times New Roman"/>
                <w:sz w:val="18"/>
                <w:szCs w:val="18"/>
              </w:rPr>
              <w:t>。</w:t>
            </w:r>
          </w:p>
        </w:tc>
        <w:tc>
          <w:tcPr>
            <w:tcW w:w="851" w:type="dxa"/>
            <w:tcBorders>
              <w:top w:val="single" w:color="auto" w:sz="4" w:space="0"/>
              <w:left w:val="single" w:color="auto" w:sz="4" w:space="0"/>
              <w:bottom w:val="single" w:color="auto" w:sz="4" w:space="0"/>
              <w:right w:val="single" w:color="auto" w:sz="4" w:space="0"/>
            </w:tcBorders>
            <w:vAlign w:val="center"/>
          </w:tcPr>
          <w:p w14:paraId="2895627E">
            <w:pPr>
              <w:snapToGrid w:val="0"/>
              <w:spacing w:line="240" w:lineRule="auto"/>
              <w:jc w:val="center"/>
              <w:rPr>
                <w:rFonts w:ascii="Times New Roman" w:hAnsi="Times New Roman"/>
                <w:sz w:val="18"/>
                <w:szCs w:val="18"/>
              </w:rPr>
            </w:pPr>
            <w:r>
              <w:rPr>
                <w:rFonts w:hint="eastAsia" w:ascii="Times New Roman" w:hAnsi="Times New Roman"/>
                <w:sz w:val="18"/>
                <w:szCs w:val="18"/>
              </w:rPr>
              <w:t>【0-5】</w:t>
            </w:r>
          </w:p>
        </w:tc>
      </w:tr>
      <w:tr w14:paraId="4D531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779" w:type="dxa"/>
            <w:vMerge w:val="continue"/>
            <w:tcBorders>
              <w:left w:val="single" w:color="auto" w:sz="4" w:space="0"/>
              <w:right w:val="single" w:color="auto" w:sz="4" w:space="0"/>
            </w:tcBorders>
            <w:vAlign w:val="center"/>
          </w:tcPr>
          <w:p w14:paraId="7520ECCB">
            <w:pPr>
              <w:snapToGrid w:val="0"/>
              <w:spacing w:line="240" w:lineRule="auto"/>
              <w:jc w:val="center"/>
              <w:rPr>
                <w:rFonts w:ascii="Times New Roman" w:hAnsi="Times New Roman"/>
                <w:sz w:val="18"/>
                <w:szCs w:val="18"/>
              </w:rPr>
            </w:pPr>
          </w:p>
        </w:tc>
        <w:tc>
          <w:tcPr>
            <w:tcW w:w="668" w:type="dxa"/>
            <w:vMerge w:val="continue"/>
            <w:tcBorders>
              <w:left w:val="single" w:color="auto" w:sz="4" w:space="0"/>
              <w:right w:val="single" w:color="auto" w:sz="4" w:space="0"/>
            </w:tcBorders>
            <w:vAlign w:val="center"/>
          </w:tcPr>
          <w:p w14:paraId="0B293118">
            <w:pPr>
              <w:snapToGrid w:val="0"/>
              <w:spacing w:line="240" w:lineRule="auto"/>
              <w:jc w:val="center"/>
              <w:rPr>
                <w:rFonts w:ascii="Times New Roman" w:hAnsi="Times New Roman"/>
                <w:b/>
                <w:bCs/>
                <w:sz w:val="18"/>
                <w:szCs w:val="18"/>
              </w:rPr>
            </w:pPr>
          </w:p>
        </w:tc>
        <w:tc>
          <w:tcPr>
            <w:tcW w:w="1559" w:type="dxa"/>
            <w:tcBorders>
              <w:top w:val="single" w:color="auto" w:sz="4" w:space="0"/>
              <w:left w:val="single" w:color="auto" w:sz="4" w:space="0"/>
              <w:bottom w:val="single" w:color="auto" w:sz="4" w:space="0"/>
              <w:right w:val="single" w:color="auto" w:sz="4" w:space="0"/>
            </w:tcBorders>
            <w:vAlign w:val="center"/>
          </w:tcPr>
          <w:p w14:paraId="3BC1D5F8">
            <w:pPr>
              <w:snapToGrid w:val="0"/>
              <w:spacing w:line="240" w:lineRule="auto"/>
              <w:jc w:val="center"/>
              <w:rPr>
                <w:rFonts w:ascii="Times New Roman" w:hAnsi="Times New Roman"/>
                <w:sz w:val="18"/>
                <w:szCs w:val="18"/>
              </w:rPr>
            </w:pPr>
            <w:r>
              <w:rPr>
                <w:rFonts w:ascii="Times New Roman" w:hAnsi="Times New Roman"/>
                <w:sz w:val="18"/>
                <w:szCs w:val="18"/>
              </w:rPr>
              <w:t>品牌乡村</w:t>
            </w:r>
          </w:p>
          <w:p w14:paraId="464D173F">
            <w:pPr>
              <w:snapToGrid w:val="0"/>
              <w:spacing w:line="240" w:lineRule="auto"/>
              <w:jc w:val="center"/>
              <w:rPr>
                <w:rFonts w:ascii="Times New Roman" w:hAnsi="Times New Roman"/>
                <w:sz w:val="18"/>
                <w:szCs w:val="18"/>
              </w:rPr>
            </w:pPr>
            <w:r>
              <w:rPr>
                <w:rFonts w:ascii="Times New Roman" w:hAnsi="Times New Roman"/>
                <w:sz w:val="18"/>
                <w:szCs w:val="18"/>
              </w:rPr>
              <w:t>建设保障</w:t>
            </w:r>
          </w:p>
        </w:tc>
        <w:tc>
          <w:tcPr>
            <w:tcW w:w="2268" w:type="dxa"/>
            <w:tcBorders>
              <w:top w:val="single" w:color="auto" w:sz="4" w:space="0"/>
              <w:left w:val="single" w:color="auto" w:sz="4" w:space="0"/>
              <w:bottom w:val="single" w:color="auto" w:sz="4" w:space="0"/>
              <w:right w:val="single" w:color="auto" w:sz="4" w:space="0"/>
            </w:tcBorders>
            <w:vAlign w:val="center"/>
          </w:tcPr>
          <w:p w14:paraId="1681A834">
            <w:pPr>
              <w:snapToGrid w:val="0"/>
              <w:spacing w:line="240" w:lineRule="auto"/>
              <w:rPr>
                <w:rFonts w:ascii="Times New Roman" w:hAnsi="Times New Roman"/>
                <w:sz w:val="18"/>
                <w:szCs w:val="18"/>
              </w:rPr>
            </w:pPr>
            <w:r>
              <w:rPr>
                <w:rFonts w:hint="eastAsia" w:ascii="Times New Roman" w:hAnsi="Times New Roman"/>
                <w:sz w:val="18"/>
                <w:szCs w:val="18"/>
              </w:rPr>
              <w:t>有</w:t>
            </w:r>
            <w:r>
              <w:rPr>
                <w:rFonts w:ascii="Times New Roman" w:hAnsi="Times New Roman"/>
                <w:sz w:val="18"/>
                <w:szCs w:val="18"/>
              </w:rPr>
              <w:t>工作机制、人员、空间、经费等建设保障</w:t>
            </w:r>
            <w:r>
              <w:rPr>
                <w:rFonts w:hint="eastAsia" w:ascii="Times New Roman" w:hAnsi="Times New Roman"/>
                <w:sz w:val="18"/>
                <w:szCs w:val="18"/>
              </w:rPr>
              <w:t>。</w:t>
            </w:r>
          </w:p>
        </w:tc>
        <w:tc>
          <w:tcPr>
            <w:tcW w:w="3118" w:type="dxa"/>
            <w:tcBorders>
              <w:top w:val="single" w:color="auto" w:sz="4" w:space="0"/>
              <w:left w:val="single" w:color="auto" w:sz="4" w:space="0"/>
              <w:bottom w:val="single" w:color="auto" w:sz="4" w:space="0"/>
              <w:right w:val="single" w:color="auto" w:sz="4" w:space="0"/>
            </w:tcBorders>
            <w:vAlign w:val="center"/>
          </w:tcPr>
          <w:p w14:paraId="071E7DFA">
            <w:pPr>
              <w:snapToGrid w:val="0"/>
              <w:spacing w:line="240" w:lineRule="auto"/>
              <w:rPr>
                <w:rFonts w:ascii="Times New Roman" w:hAnsi="Times New Roman"/>
                <w:color w:val="000000" w:themeColor="text1"/>
                <w:sz w:val="18"/>
                <w:szCs w:val="18"/>
                <w14:textFill>
                  <w14:solidFill>
                    <w14:schemeClr w14:val="tx1"/>
                  </w14:solidFill>
                </w14:textFill>
              </w:rPr>
            </w:pPr>
            <w:r>
              <w:rPr>
                <w:rFonts w:ascii="Times New Roman" w:hAnsi="Times New Roman"/>
                <w:sz w:val="18"/>
                <w:szCs w:val="18"/>
              </w:rPr>
              <w:t>有团队且能正常运营，5分；</w:t>
            </w:r>
            <w:r>
              <w:rPr>
                <w:rFonts w:hint="eastAsia" w:ascii="Times New Roman" w:hAnsi="Times New Roman"/>
                <w:sz w:val="18"/>
                <w:szCs w:val="18"/>
              </w:rPr>
              <w:t>无前述条件的，</w:t>
            </w:r>
            <w:r>
              <w:rPr>
                <w:rFonts w:ascii="Times New Roman" w:hAnsi="Times New Roman"/>
                <w:sz w:val="18"/>
                <w:szCs w:val="18"/>
              </w:rPr>
              <w:t>视</w:t>
            </w:r>
            <w:r>
              <w:rPr>
                <w:rFonts w:hint="eastAsia" w:ascii="Times New Roman" w:hAnsi="Times New Roman"/>
                <w:sz w:val="18"/>
                <w:szCs w:val="18"/>
              </w:rPr>
              <w:t>运营</w:t>
            </w:r>
            <w:r>
              <w:rPr>
                <w:rFonts w:ascii="Times New Roman" w:hAnsi="Times New Roman"/>
                <w:sz w:val="18"/>
                <w:szCs w:val="18"/>
              </w:rPr>
              <w:t>情况酌情给分，1-3分；无</w:t>
            </w:r>
            <w:r>
              <w:rPr>
                <w:rFonts w:hint="eastAsia" w:ascii="Times New Roman" w:hAnsi="Times New Roman"/>
                <w:sz w:val="18"/>
                <w:szCs w:val="18"/>
              </w:rPr>
              <w:t>运营</w:t>
            </w:r>
            <w:r>
              <w:rPr>
                <w:rFonts w:ascii="Times New Roman" w:hAnsi="Times New Roman"/>
                <w:sz w:val="18"/>
                <w:szCs w:val="18"/>
              </w:rPr>
              <w:t>团队，0分</w:t>
            </w:r>
            <w:r>
              <w:rPr>
                <w:rFonts w:hint="eastAsia" w:ascii="Times New Roman" w:hAnsi="Times New Roman"/>
                <w:sz w:val="18"/>
                <w:szCs w:val="18"/>
              </w:rPr>
              <w:t>。</w:t>
            </w:r>
          </w:p>
        </w:tc>
        <w:tc>
          <w:tcPr>
            <w:tcW w:w="851" w:type="dxa"/>
            <w:tcBorders>
              <w:top w:val="single" w:color="auto" w:sz="4" w:space="0"/>
              <w:left w:val="single" w:color="auto" w:sz="4" w:space="0"/>
              <w:bottom w:val="single" w:color="auto" w:sz="4" w:space="0"/>
              <w:right w:val="single" w:color="auto" w:sz="4" w:space="0"/>
            </w:tcBorders>
            <w:vAlign w:val="center"/>
          </w:tcPr>
          <w:p w14:paraId="37D3A44E">
            <w:pPr>
              <w:snapToGrid w:val="0"/>
              <w:spacing w:line="240" w:lineRule="auto"/>
              <w:jc w:val="center"/>
              <w:rPr>
                <w:rFonts w:ascii="Times New Roman" w:hAnsi="Times New Roman"/>
                <w:sz w:val="18"/>
                <w:szCs w:val="18"/>
              </w:rPr>
            </w:pPr>
            <w:r>
              <w:rPr>
                <w:rFonts w:hint="eastAsia" w:ascii="Times New Roman" w:hAnsi="Times New Roman"/>
                <w:sz w:val="18"/>
                <w:szCs w:val="18"/>
              </w:rPr>
              <w:t>【0-5】</w:t>
            </w:r>
          </w:p>
        </w:tc>
      </w:tr>
      <w:tr w14:paraId="21F20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779" w:type="dxa"/>
            <w:vMerge w:val="continue"/>
            <w:tcBorders>
              <w:left w:val="single" w:color="auto" w:sz="4" w:space="0"/>
              <w:right w:val="single" w:color="auto" w:sz="4" w:space="0"/>
            </w:tcBorders>
            <w:vAlign w:val="center"/>
          </w:tcPr>
          <w:p w14:paraId="0B142306">
            <w:pPr>
              <w:snapToGrid w:val="0"/>
              <w:spacing w:line="240" w:lineRule="auto"/>
              <w:jc w:val="center"/>
              <w:rPr>
                <w:rFonts w:ascii="Times New Roman" w:hAnsi="Times New Roman"/>
                <w:sz w:val="18"/>
                <w:szCs w:val="18"/>
              </w:rPr>
            </w:pPr>
          </w:p>
        </w:tc>
        <w:tc>
          <w:tcPr>
            <w:tcW w:w="668" w:type="dxa"/>
            <w:vMerge w:val="restart"/>
            <w:tcBorders>
              <w:left w:val="single" w:color="auto" w:sz="4" w:space="0"/>
              <w:right w:val="single" w:color="auto" w:sz="4" w:space="0"/>
            </w:tcBorders>
            <w:vAlign w:val="center"/>
          </w:tcPr>
          <w:p w14:paraId="1E9055D4">
            <w:pPr>
              <w:snapToGrid w:val="0"/>
              <w:spacing w:line="240" w:lineRule="auto"/>
              <w:jc w:val="center"/>
              <w:rPr>
                <w:rFonts w:ascii="Times New Roman" w:hAnsi="Times New Roman"/>
                <w:b/>
                <w:bCs/>
                <w:sz w:val="18"/>
                <w:szCs w:val="18"/>
              </w:rPr>
            </w:pPr>
            <w:r>
              <w:rPr>
                <w:rFonts w:hint="eastAsia" w:ascii="Times New Roman" w:hAnsi="Times New Roman"/>
                <w:b/>
                <w:bCs/>
                <w:sz w:val="18"/>
                <w:szCs w:val="18"/>
              </w:rPr>
              <w:t>品牌运营</w:t>
            </w:r>
          </w:p>
        </w:tc>
        <w:tc>
          <w:tcPr>
            <w:tcW w:w="1559" w:type="dxa"/>
            <w:tcBorders>
              <w:top w:val="single" w:color="auto" w:sz="4" w:space="0"/>
              <w:left w:val="single" w:color="auto" w:sz="4" w:space="0"/>
              <w:bottom w:val="single" w:color="auto" w:sz="4" w:space="0"/>
              <w:right w:val="single" w:color="auto" w:sz="4" w:space="0"/>
            </w:tcBorders>
            <w:vAlign w:val="center"/>
          </w:tcPr>
          <w:p w14:paraId="223965C8">
            <w:pPr>
              <w:snapToGrid w:val="0"/>
              <w:spacing w:line="240" w:lineRule="auto"/>
              <w:jc w:val="center"/>
              <w:rPr>
                <w:rFonts w:ascii="Times New Roman" w:hAnsi="Times New Roman"/>
                <w:sz w:val="18"/>
                <w:szCs w:val="18"/>
              </w:rPr>
            </w:pPr>
            <w:r>
              <w:rPr>
                <w:rFonts w:ascii="Times New Roman" w:hAnsi="Times New Roman"/>
                <w:sz w:val="18"/>
                <w:szCs w:val="18"/>
              </w:rPr>
              <w:t>品牌</w:t>
            </w:r>
            <w:r>
              <w:rPr>
                <w:rFonts w:hint="eastAsia" w:ascii="Times New Roman" w:hAnsi="Times New Roman"/>
                <w:sz w:val="18"/>
                <w:szCs w:val="18"/>
              </w:rPr>
              <w:t>运营程度</w:t>
            </w:r>
          </w:p>
        </w:tc>
        <w:tc>
          <w:tcPr>
            <w:tcW w:w="2268" w:type="dxa"/>
            <w:tcBorders>
              <w:top w:val="single" w:color="auto" w:sz="4" w:space="0"/>
              <w:left w:val="single" w:color="auto" w:sz="4" w:space="0"/>
              <w:bottom w:val="single" w:color="auto" w:sz="4" w:space="0"/>
              <w:right w:val="single" w:color="auto" w:sz="4" w:space="0"/>
            </w:tcBorders>
            <w:vAlign w:val="center"/>
          </w:tcPr>
          <w:p w14:paraId="0F02733D">
            <w:pPr>
              <w:snapToGrid w:val="0"/>
              <w:spacing w:line="240" w:lineRule="auto"/>
              <w:jc w:val="left"/>
              <w:rPr>
                <w:rFonts w:ascii="Times New Roman" w:hAnsi="Times New Roman"/>
                <w:sz w:val="18"/>
                <w:szCs w:val="18"/>
              </w:rPr>
            </w:pPr>
            <w:r>
              <w:rPr>
                <w:rFonts w:ascii="Times New Roman" w:hAnsi="Times New Roman"/>
                <w:sz w:val="18"/>
                <w:szCs w:val="18"/>
              </w:rPr>
              <w:t>结合品牌乡村</w:t>
            </w:r>
            <w:r>
              <w:rPr>
                <w:rFonts w:hint="eastAsia" w:ascii="Times New Roman" w:hAnsi="Times New Roman"/>
                <w:sz w:val="18"/>
                <w:szCs w:val="18"/>
              </w:rPr>
              <w:t>的定位</w:t>
            </w:r>
            <w:r>
              <w:rPr>
                <w:rFonts w:ascii="Times New Roman" w:hAnsi="Times New Roman"/>
                <w:sz w:val="18"/>
                <w:szCs w:val="18"/>
              </w:rPr>
              <w:t>开发相应的</w:t>
            </w:r>
            <w:r>
              <w:rPr>
                <w:rFonts w:hint="eastAsia" w:ascii="Times New Roman" w:hAnsi="Times New Roman"/>
                <w:sz w:val="18"/>
                <w:szCs w:val="18"/>
              </w:rPr>
              <w:t>特色</w:t>
            </w:r>
            <w:r>
              <w:rPr>
                <w:rFonts w:ascii="Times New Roman" w:hAnsi="Times New Roman"/>
                <w:sz w:val="18"/>
                <w:szCs w:val="18"/>
              </w:rPr>
              <w:t>农产品、地理标志产品、非遗产品、旅游文创产品、民宿产品、餐饮产品、场景体验产品、民俗节庆等</w:t>
            </w:r>
            <w:r>
              <w:rPr>
                <w:rFonts w:hint="eastAsia" w:ascii="Times New Roman" w:hAnsi="Times New Roman"/>
                <w:sz w:val="18"/>
                <w:szCs w:val="18"/>
              </w:rPr>
              <w:t>。</w:t>
            </w:r>
          </w:p>
        </w:tc>
        <w:tc>
          <w:tcPr>
            <w:tcW w:w="3118" w:type="dxa"/>
            <w:tcBorders>
              <w:top w:val="single" w:color="auto" w:sz="4" w:space="0"/>
              <w:left w:val="single" w:color="auto" w:sz="4" w:space="0"/>
              <w:bottom w:val="single" w:color="auto" w:sz="4" w:space="0"/>
              <w:right w:val="single" w:color="auto" w:sz="4" w:space="0"/>
            </w:tcBorders>
            <w:vAlign w:val="center"/>
          </w:tcPr>
          <w:p w14:paraId="6C0BACDF">
            <w:pPr>
              <w:snapToGrid w:val="0"/>
              <w:spacing w:line="240" w:lineRule="auto"/>
              <w:rPr>
                <w:rFonts w:ascii="Times New Roman" w:hAnsi="Times New Roman"/>
                <w:color w:val="000000" w:themeColor="text1"/>
                <w:sz w:val="18"/>
                <w:szCs w:val="18"/>
                <w14:textFill>
                  <w14:solidFill>
                    <w14:schemeClr w14:val="tx1"/>
                  </w14:solidFill>
                </w14:textFill>
              </w:rPr>
            </w:pPr>
            <w:r>
              <w:rPr>
                <w:rFonts w:hint="eastAsia" w:ascii="Times New Roman" w:hAnsi="Times New Roman"/>
                <w:sz w:val="18"/>
                <w:szCs w:val="18"/>
              </w:rPr>
              <w:t>形成</w:t>
            </w:r>
            <w:r>
              <w:rPr>
                <w:rFonts w:ascii="Times New Roman" w:hAnsi="Times New Roman"/>
                <w:color w:val="000000" w:themeColor="text1"/>
                <w:sz w:val="18"/>
                <w:szCs w:val="18"/>
                <w14:textFill>
                  <w14:solidFill>
                    <w14:schemeClr w14:val="tx1"/>
                  </w14:solidFill>
                </w14:textFill>
              </w:rPr>
              <w:t>特色鲜明的品牌乡村</w:t>
            </w:r>
            <w:r>
              <w:rPr>
                <w:rFonts w:hint="eastAsia" w:ascii="Times New Roman" w:hAnsi="Times New Roman"/>
                <w:color w:val="000000" w:themeColor="text1"/>
                <w:sz w:val="18"/>
                <w:szCs w:val="18"/>
                <w14:textFill>
                  <w14:solidFill>
                    <w14:schemeClr w14:val="tx1"/>
                  </w14:solidFill>
                </w14:textFill>
              </w:rPr>
              <w:t>及衍生品牌</w:t>
            </w:r>
            <w:r>
              <w:rPr>
                <w:rFonts w:ascii="Times New Roman" w:hAnsi="Times New Roman"/>
                <w:color w:val="000000" w:themeColor="text1"/>
                <w:sz w:val="18"/>
                <w:szCs w:val="18"/>
                <w14:textFill>
                  <w14:solidFill>
                    <w14:schemeClr w14:val="tx1"/>
                  </w14:solidFill>
                </w14:textFill>
              </w:rPr>
              <w:t>，5分</w:t>
            </w:r>
            <w:r>
              <w:rPr>
                <w:rFonts w:ascii="Times New Roman" w:hAnsi="Times New Roman"/>
                <w:sz w:val="18"/>
                <w:szCs w:val="18"/>
              </w:rPr>
              <w:t>；</w:t>
            </w:r>
            <w:r>
              <w:rPr>
                <w:rFonts w:hint="eastAsia" w:ascii="Times New Roman" w:hAnsi="Times New Roman"/>
                <w:sz w:val="18"/>
                <w:szCs w:val="18"/>
              </w:rPr>
              <w:t>形成</w:t>
            </w:r>
            <w:r>
              <w:rPr>
                <w:rFonts w:ascii="Times New Roman" w:hAnsi="Times New Roman"/>
                <w:color w:val="000000" w:themeColor="text1"/>
                <w:sz w:val="18"/>
                <w:szCs w:val="18"/>
                <w14:textFill>
                  <w14:solidFill>
                    <w14:schemeClr w14:val="tx1"/>
                  </w14:solidFill>
                </w14:textFill>
              </w:rPr>
              <w:t>品牌乡村</w:t>
            </w:r>
            <w:r>
              <w:rPr>
                <w:rFonts w:hint="eastAsia" w:ascii="Times New Roman" w:hAnsi="Times New Roman"/>
                <w:color w:val="000000" w:themeColor="text1"/>
                <w:sz w:val="18"/>
                <w:szCs w:val="18"/>
                <w14:textFill>
                  <w14:solidFill>
                    <w14:schemeClr w14:val="tx1"/>
                  </w14:solidFill>
                </w14:textFill>
              </w:rPr>
              <w:t>及衍生品牌</w:t>
            </w:r>
            <w:r>
              <w:rPr>
                <w:rFonts w:ascii="Times New Roman" w:hAnsi="Times New Roman"/>
                <w:color w:val="000000" w:themeColor="text1"/>
                <w:sz w:val="18"/>
                <w:szCs w:val="18"/>
                <w14:textFill>
                  <w14:solidFill>
                    <w14:schemeClr w14:val="tx1"/>
                  </w14:solidFill>
                </w14:textFill>
              </w:rPr>
              <w:t>，</w:t>
            </w:r>
            <w:r>
              <w:rPr>
                <w:rFonts w:hint="eastAsia" w:ascii="Times New Roman" w:hAnsi="Times New Roman"/>
                <w:color w:val="000000" w:themeColor="text1"/>
                <w:sz w:val="18"/>
                <w:szCs w:val="18"/>
                <w14:textFill>
                  <w14:solidFill>
                    <w14:schemeClr w14:val="tx1"/>
                  </w14:solidFill>
                </w14:textFill>
              </w:rPr>
              <w:t>但</w:t>
            </w:r>
            <w:r>
              <w:rPr>
                <w:rFonts w:hint="eastAsia" w:ascii="Times New Roman" w:hAnsi="Times New Roman"/>
                <w:sz w:val="18"/>
                <w:szCs w:val="18"/>
              </w:rPr>
              <w:t>特征不突出的</w:t>
            </w:r>
            <w:r>
              <w:rPr>
                <w:rFonts w:ascii="Times New Roman" w:hAnsi="Times New Roman"/>
                <w:sz w:val="18"/>
                <w:szCs w:val="18"/>
              </w:rPr>
              <w:t>，3分；</w:t>
            </w:r>
            <w:r>
              <w:rPr>
                <w:rFonts w:hint="eastAsia" w:ascii="Times New Roman" w:hAnsi="Times New Roman"/>
                <w:sz w:val="18"/>
                <w:szCs w:val="18"/>
              </w:rPr>
              <w:t>品牌乡村特征不显著，业态零散</w:t>
            </w:r>
            <w:r>
              <w:rPr>
                <w:rFonts w:ascii="Times New Roman" w:hAnsi="Times New Roman"/>
                <w:sz w:val="18"/>
                <w:szCs w:val="18"/>
              </w:rPr>
              <w:t>，1分</w:t>
            </w:r>
            <w:r>
              <w:rPr>
                <w:rFonts w:hint="eastAsia" w:ascii="Times New Roman" w:hAnsi="Times New Roman"/>
                <w:sz w:val="18"/>
                <w:szCs w:val="18"/>
              </w:rPr>
              <w:t>。</w:t>
            </w:r>
          </w:p>
        </w:tc>
        <w:tc>
          <w:tcPr>
            <w:tcW w:w="851" w:type="dxa"/>
            <w:tcBorders>
              <w:top w:val="single" w:color="auto" w:sz="4" w:space="0"/>
              <w:left w:val="single" w:color="auto" w:sz="4" w:space="0"/>
              <w:bottom w:val="single" w:color="auto" w:sz="4" w:space="0"/>
              <w:right w:val="single" w:color="auto" w:sz="4" w:space="0"/>
            </w:tcBorders>
            <w:vAlign w:val="center"/>
          </w:tcPr>
          <w:p w14:paraId="16F3CC51">
            <w:pPr>
              <w:snapToGrid w:val="0"/>
              <w:spacing w:line="240" w:lineRule="auto"/>
              <w:jc w:val="center"/>
              <w:rPr>
                <w:rFonts w:ascii="Times New Roman" w:hAnsi="Times New Roman"/>
                <w:sz w:val="18"/>
                <w:szCs w:val="18"/>
              </w:rPr>
            </w:pPr>
            <w:r>
              <w:rPr>
                <w:rFonts w:hint="eastAsia" w:ascii="Times New Roman" w:hAnsi="Times New Roman"/>
                <w:sz w:val="18"/>
                <w:szCs w:val="18"/>
              </w:rPr>
              <w:t>【0-5】</w:t>
            </w:r>
          </w:p>
        </w:tc>
      </w:tr>
      <w:tr w14:paraId="42983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779" w:type="dxa"/>
            <w:vMerge w:val="continue"/>
            <w:tcBorders>
              <w:left w:val="single" w:color="auto" w:sz="4" w:space="0"/>
              <w:right w:val="single" w:color="auto" w:sz="4" w:space="0"/>
            </w:tcBorders>
            <w:vAlign w:val="center"/>
          </w:tcPr>
          <w:p w14:paraId="525BC1A7">
            <w:pPr>
              <w:snapToGrid w:val="0"/>
              <w:spacing w:line="240" w:lineRule="auto"/>
              <w:jc w:val="center"/>
              <w:rPr>
                <w:rFonts w:ascii="Times New Roman" w:hAnsi="Times New Roman"/>
                <w:sz w:val="18"/>
                <w:szCs w:val="18"/>
              </w:rPr>
            </w:pPr>
          </w:p>
        </w:tc>
        <w:tc>
          <w:tcPr>
            <w:tcW w:w="668" w:type="dxa"/>
            <w:vMerge w:val="continue"/>
            <w:tcBorders>
              <w:left w:val="single" w:color="auto" w:sz="4" w:space="0"/>
              <w:right w:val="single" w:color="auto" w:sz="4" w:space="0"/>
            </w:tcBorders>
            <w:vAlign w:val="center"/>
          </w:tcPr>
          <w:p w14:paraId="2521144A">
            <w:pPr>
              <w:snapToGrid w:val="0"/>
              <w:spacing w:line="240" w:lineRule="auto"/>
              <w:jc w:val="center"/>
              <w:rPr>
                <w:rFonts w:ascii="Times New Roman" w:hAnsi="Times New Roman"/>
                <w:sz w:val="18"/>
                <w:szCs w:val="18"/>
              </w:rPr>
            </w:pPr>
          </w:p>
        </w:tc>
        <w:tc>
          <w:tcPr>
            <w:tcW w:w="1559" w:type="dxa"/>
            <w:tcBorders>
              <w:top w:val="single" w:color="auto" w:sz="4" w:space="0"/>
              <w:left w:val="single" w:color="auto" w:sz="4" w:space="0"/>
              <w:bottom w:val="single" w:color="auto" w:sz="4" w:space="0"/>
              <w:right w:val="single" w:color="auto" w:sz="4" w:space="0"/>
            </w:tcBorders>
            <w:vAlign w:val="center"/>
          </w:tcPr>
          <w:p w14:paraId="01140E96">
            <w:pPr>
              <w:snapToGrid w:val="0"/>
              <w:spacing w:line="240" w:lineRule="auto"/>
              <w:jc w:val="center"/>
              <w:rPr>
                <w:rFonts w:ascii="Times New Roman" w:hAnsi="Times New Roman"/>
                <w:sz w:val="18"/>
                <w:szCs w:val="18"/>
              </w:rPr>
            </w:pPr>
            <w:r>
              <w:rPr>
                <w:rFonts w:ascii="Times New Roman" w:hAnsi="Times New Roman"/>
                <w:sz w:val="18"/>
                <w:szCs w:val="18"/>
              </w:rPr>
              <w:t>品牌保护力度</w:t>
            </w:r>
          </w:p>
        </w:tc>
        <w:tc>
          <w:tcPr>
            <w:tcW w:w="2268" w:type="dxa"/>
            <w:tcBorders>
              <w:top w:val="single" w:color="auto" w:sz="4" w:space="0"/>
              <w:left w:val="single" w:color="auto" w:sz="4" w:space="0"/>
              <w:bottom w:val="single" w:color="auto" w:sz="4" w:space="0"/>
              <w:right w:val="single" w:color="auto" w:sz="4" w:space="0"/>
            </w:tcBorders>
            <w:vAlign w:val="center"/>
          </w:tcPr>
          <w:p w14:paraId="798050B4">
            <w:pPr>
              <w:snapToGrid w:val="0"/>
              <w:spacing w:line="240" w:lineRule="auto"/>
              <w:jc w:val="left"/>
              <w:rPr>
                <w:rFonts w:ascii="Times New Roman" w:hAnsi="Times New Roman"/>
                <w:sz w:val="18"/>
                <w:szCs w:val="18"/>
              </w:rPr>
            </w:pPr>
            <w:r>
              <w:rPr>
                <w:rFonts w:hint="eastAsia" w:ascii="Times New Roman" w:hAnsi="Times New Roman"/>
                <w:sz w:val="18"/>
                <w:szCs w:val="18"/>
              </w:rPr>
              <w:t>对品牌乡村的</w:t>
            </w:r>
            <w:r>
              <w:rPr>
                <w:rFonts w:ascii="Times New Roman" w:hAnsi="Times New Roman"/>
                <w:sz w:val="18"/>
                <w:szCs w:val="18"/>
              </w:rPr>
              <w:t>商标注册、授权使用、品牌管理、特种资源保护、专利保护等</w:t>
            </w:r>
            <w:r>
              <w:rPr>
                <w:rFonts w:hint="eastAsia" w:ascii="Times New Roman" w:hAnsi="Times New Roman"/>
                <w:sz w:val="18"/>
                <w:szCs w:val="18"/>
              </w:rPr>
              <w:t>。</w:t>
            </w:r>
          </w:p>
        </w:tc>
        <w:tc>
          <w:tcPr>
            <w:tcW w:w="3118" w:type="dxa"/>
            <w:tcBorders>
              <w:top w:val="single" w:color="auto" w:sz="4" w:space="0"/>
              <w:left w:val="single" w:color="auto" w:sz="4" w:space="0"/>
              <w:bottom w:val="single" w:color="auto" w:sz="4" w:space="0"/>
              <w:right w:val="single" w:color="auto" w:sz="4" w:space="0"/>
            </w:tcBorders>
            <w:vAlign w:val="center"/>
          </w:tcPr>
          <w:p w14:paraId="4AA4FCC8">
            <w:pPr>
              <w:snapToGrid w:val="0"/>
              <w:spacing w:line="240" w:lineRule="auto"/>
              <w:rPr>
                <w:rFonts w:ascii="Times New Roman" w:hAnsi="Times New Roman"/>
                <w:color w:val="000000" w:themeColor="text1"/>
                <w:sz w:val="18"/>
                <w:szCs w:val="18"/>
                <w14:textFill>
                  <w14:solidFill>
                    <w14:schemeClr w14:val="tx1"/>
                  </w14:solidFill>
                </w14:textFill>
              </w:rPr>
            </w:pPr>
            <w:r>
              <w:rPr>
                <w:rFonts w:ascii="Times New Roman" w:hAnsi="Times New Roman"/>
                <w:sz w:val="18"/>
                <w:szCs w:val="18"/>
              </w:rPr>
              <w:t>注册商标，2分；</w:t>
            </w:r>
            <w:r>
              <w:rPr>
                <w:rFonts w:hint="eastAsia" w:ascii="Times New Roman" w:hAnsi="Times New Roman"/>
                <w:sz w:val="18"/>
                <w:szCs w:val="18"/>
              </w:rPr>
              <w:t>合规</w:t>
            </w:r>
            <w:r>
              <w:rPr>
                <w:rFonts w:ascii="Times New Roman" w:hAnsi="Times New Roman"/>
                <w:sz w:val="18"/>
                <w:szCs w:val="18"/>
              </w:rPr>
              <w:t>授权，1分；</w:t>
            </w:r>
            <w:r>
              <w:rPr>
                <w:rFonts w:hint="eastAsia" w:ascii="Times New Roman" w:hAnsi="Times New Roman"/>
                <w:color w:val="000000" w:themeColor="text1"/>
                <w:sz w:val="18"/>
                <w:szCs w:val="18"/>
                <w14:textFill>
                  <w14:solidFill>
                    <w14:schemeClr w14:val="tx1"/>
                  </w14:solidFill>
                </w14:textFill>
              </w:rPr>
              <w:t>有自律制度，</w:t>
            </w:r>
            <w:r>
              <w:rPr>
                <w:rFonts w:ascii="Times New Roman" w:hAnsi="Times New Roman"/>
                <w:sz w:val="18"/>
                <w:szCs w:val="18"/>
              </w:rPr>
              <w:t>1分</w:t>
            </w:r>
            <w:r>
              <w:rPr>
                <w:rFonts w:hint="eastAsia" w:ascii="Times New Roman" w:hAnsi="Times New Roman"/>
                <w:sz w:val="18"/>
                <w:szCs w:val="18"/>
              </w:rPr>
              <w:t>；</w:t>
            </w:r>
            <w:r>
              <w:rPr>
                <w:rFonts w:ascii="Times New Roman" w:hAnsi="Times New Roman"/>
                <w:sz w:val="18"/>
                <w:szCs w:val="18"/>
              </w:rPr>
              <w:t>有危机干预方案，1分；</w:t>
            </w:r>
            <w:r>
              <w:rPr>
                <w:rFonts w:hint="eastAsia" w:ascii="Times New Roman" w:hAnsi="Times New Roman"/>
                <w:sz w:val="18"/>
                <w:szCs w:val="18"/>
              </w:rPr>
              <w:t>前述其他指标保护情况，酌情给分，总分不超过5分。</w:t>
            </w:r>
          </w:p>
        </w:tc>
        <w:tc>
          <w:tcPr>
            <w:tcW w:w="851" w:type="dxa"/>
            <w:tcBorders>
              <w:top w:val="single" w:color="auto" w:sz="4" w:space="0"/>
              <w:left w:val="single" w:color="auto" w:sz="4" w:space="0"/>
              <w:bottom w:val="single" w:color="auto" w:sz="4" w:space="0"/>
              <w:right w:val="single" w:color="auto" w:sz="4" w:space="0"/>
            </w:tcBorders>
            <w:vAlign w:val="center"/>
          </w:tcPr>
          <w:p w14:paraId="36825F8C">
            <w:pPr>
              <w:snapToGrid w:val="0"/>
              <w:spacing w:line="240" w:lineRule="auto"/>
              <w:jc w:val="center"/>
              <w:rPr>
                <w:rFonts w:ascii="Times New Roman" w:hAnsi="Times New Roman"/>
                <w:sz w:val="18"/>
                <w:szCs w:val="18"/>
              </w:rPr>
            </w:pPr>
            <w:r>
              <w:rPr>
                <w:rFonts w:hint="eastAsia" w:ascii="Times New Roman" w:hAnsi="Times New Roman"/>
                <w:sz w:val="18"/>
                <w:szCs w:val="18"/>
              </w:rPr>
              <w:t>【0-5】</w:t>
            </w:r>
          </w:p>
        </w:tc>
      </w:tr>
      <w:tr w14:paraId="51656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779" w:type="dxa"/>
            <w:vMerge w:val="continue"/>
            <w:tcBorders>
              <w:left w:val="single" w:color="auto" w:sz="4" w:space="0"/>
              <w:right w:val="single" w:color="auto" w:sz="4" w:space="0"/>
            </w:tcBorders>
            <w:vAlign w:val="center"/>
          </w:tcPr>
          <w:p w14:paraId="0ABD803F">
            <w:pPr>
              <w:snapToGrid w:val="0"/>
              <w:spacing w:line="240" w:lineRule="auto"/>
              <w:jc w:val="center"/>
              <w:rPr>
                <w:rFonts w:ascii="Times New Roman" w:hAnsi="Times New Roman"/>
                <w:sz w:val="18"/>
                <w:szCs w:val="18"/>
              </w:rPr>
            </w:pPr>
          </w:p>
        </w:tc>
        <w:tc>
          <w:tcPr>
            <w:tcW w:w="668" w:type="dxa"/>
            <w:vMerge w:val="continue"/>
            <w:tcBorders>
              <w:left w:val="single" w:color="auto" w:sz="4" w:space="0"/>
              <w:right w:val="single" w:color="auto" w:sz="4" w:space="0"/>
            </w:tcBorders>
            <w:vAlign w:val="center"/>
          </w:tcPr>
          <w:p w14:paraId="22EDAFD4">
            <w:pPr>
              <w:snapToGrid w:val="0"/>
              <w:spacing w:line="240" w:lineRule="auto"/>
              <w:jc w:val="center"/>
              <w:rPr>
                <w:rFonts w:ascii="Times New Roman" w:hAnsi="Times New Roman"/>
                <w:sz w:val="18"/>
                <w:szCs w:val="18"/>
              </w:rPr>
            </w:pPr>
          </w:p>
        </w:tc>
        <w:tc>
          <w:tcPr>
            <w:tcW w:w="1559" w:type="dxa"/>
            <w:tcBorders>
              <w:top w:val="single" w:color="auto" w:sz="4" w:space="0"/>
              <w:left w:val="single" w:color="auto" w:sz="4" w:space="0"/>
              <w:bottom w:val="single" w:color="auto" w:sz="4" w:space="0"/>
              <w:right w:val="single" w:color="auto" w:sz="4" w:space="0"/>
            </w:tcBorders>
            <w:vAlign w:val="center"/>
          </w:tcPr>
          <w:p w14:paraId="137F21AC">
            <w:pPr>
              <w:snapToGrid w:val="0"/>
              <w:spacing w:line="240" w:lineRule="auto"/>
              <w:jc w:val="center"/>
              <w:rPr>
                <w:rFonts w:ascii="Times New Roman" w:hAnsi="Times New Roman"/>
                <w:sz w:val="18"/>
                <w:szCs w:val="18"/>
              </w:rPr>
            </w:pPr>
            <w:r>
              <w:rPr>
                <w:rFonts w:ascii="Times New Roman" w:hAnsi="Times New Roman"/>
                <w:sz w:val="18"/>
                <w:szCs w:val="18"/>
              </w:rPr>
              <w:t>品牌知名度</w:t>
            </w:r>
          </w:p>
        </w:tc>
        <w:tc>
          <w:tcPr>
            <w:tcW w:w="2268" w:type="dxa"/>
            <w:tcBorders>
              <w:top w:val="single" w:color="auto" w:sz="4" w:space="0"/>
              <w:left w:val="single" w:color="auto" w:sz="4" w:space="0"/>
              <w:bottom w:val="single" w:color="auto" w:sz="4" w:space="0"/>
              <w:right w:val="single" w:color="auto" w:sz="4" w:space="0"/>
            </w:tcBorders>
            <w:vAlign w:val="center"/>
          </w:tcPr>
          <w:p w14:paraId="0F3B8C2B">
            <w:pPr>
              <w:snapToGrid w:val="0"/>
              <w:spacing w:line="240" w:lineRule="auto"/>
              <w:jc w:val="left"/>
              <w:rPr>
                <w:rFonts w:ascii="Times New Roman" w:hAnsi="Times New Roman"/>
                <w:sz w:val="18"/>
                <w:szCs w:val="18"/>
              </w:rPr>
            </w:pPr>
            <w:r>
              <w:rPr>
                <w:rFonts w:hint="eastAsia" w:ascii="Times New Roman" w:hAnsi="Times New Roman"/>
                <w:sz w:val="18"/>
                <w:szCs w:val="18"/>
              </w:rPr>
              <w:t>品牌乡村的知名程度。</w:t>
            </w:r>
          </w:p>
        </w:tc>
        <w:tc>
          <w:tcPr>
            <w:tcW w:w="3118" w:type="dxa"/>
            <w:tcBorders>
              <w:top w:val="single" w:color="auto" w:sz="4" w:space="0"/>
              <w:left w:val="single" w:color="auto" w:sz="4" w:space="0"/>
              <w:bottom w:val="single" w:color="auto" w:sz="4" w:space="0"/>
              <w:right w:val="single" w:color="auto" w:sz="4" w:space="0"/>
            </w:tcBorders>
            <w:vAlign w:val="center"/>
          </w:tcPr>
          <w:p w14:paraId="7A7D0870">
            <w:pPr>
              <w:snapToGrid w:val="0"/>
              <w:spacing w:line="240" w:lineRule="auto"/>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品牌乡村信息总量及相关量排名</w:t>
            </w:r>
            <w:r>
              <w:rPr>
                <w:rFonts w:ascii="Times New Roman" w:hAnsi="Times New Roman"/>
                <w:color w:val="000000" w:themeColor="text1"/>
                <w:sz w:val="18"/>
                <w:szCs w:val="18"/>
                <w14:textFill>
                  <w14:solidFill>
                    <w14:schemeClr w14:val="tx1"/>
                  </w14:solidFill>
                </w14:textFill>
              </w:rPr>
              <w:t>，</w:t>
            </w:r>
            <w:r>
              <w:rPr>
                <w:rFonts w:hint="eastAsia" w:ascii="Times New Roman" w:hAnsi="Times New Roman"/>
                <w:color w:val="000000" w:themeColor="text1"/>
                <w:sz w:val="18"/>
                <w:szCs w:val="18"/>
                <w14:textFill>
                  <w14:solidFill>
                    <w14:schemeClr w14:val="tx1"/>
                  </w14:solidFill>
                </w14:textFill>
              </w:rPr>
              <w:t>排名前10%的，5分；排名前11%至20%的，4分；排名前21%至50%的，3分；排名前51%至80%的，2分；有相关信息的，1分。</w:t>
            </w:r>
          </w:p>
        </w:tc>
        <w:tc>
          <w:tcPr>
            <w:tcW w:w="851" w:type="dxa"/>
            <w:tcBorders>
              <w:top w:val="single" w:color="auto" w:sz="4" w:space="0"/>
              <w:left w:val="single" w:color="auto" w:sz="4" w:space="0"/>
              <w:bottom w:val="single" w:color="auto" w:sz="4" w:space="0"/>
              <w:right w:val="single" w:color="auto" w:sz="4" w:space="0"/>
            </w:tcBorders>
            <w:vAlign w:val="center"/>
          </w:tcPr>
          <w:p w14:paraId="29B9A115">
            <w:pPr>
              <w:snapToGrid w:val="0"/>
              <w:spacing w:line="240" w:lineRule="auto"/>
              <w:jc w:val="center"/>
              <w:rPr>
                <w:rFonts w:ascii="Times New Roman" w:hAnsi="Times New Roman"/>
                <w:sz w:val="18"/>
                <w:szCs w:val="18"/>
              </w:rPr>
            </w:pPr>
            <w:r>
              <w:rPr>
                <w:rFonts w:hint="eastAsia" w:ascii="Times New Roman" w:hAnsi="Times New Roman"/>
                <w:sz w:val="18"/>
                <w:szCs w:val="18"/>
              </w:rPr>
              <w:t>【0-5】</w:t>
            </w:r>
          </w:p>
        </w:tc>
      </w:tr>
      <w:tr w14:paraId="179F5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779" w:type="dxa"/>
            <w:vMerge w:val="continue"/>
            <w:tcBorders>
              <w:left w:val="single" w:color="auto" w:sz="4" w:space="0"/>
              <w:right w:val="single" w:color="auto" w:sz="4" w:space="0"/>
            </w:tcBorders>
            <w:vAlign w:val="center"/>
          </w:tcPr>
          <w:p w14:paraId="38380F6B">
            <w:pPr>
              <w:snapToGrid w:val="0"/>
              <w:spacing w:line="240" w:lineRule="auto"/>
              <w:jc w:val="center"/>
              <w:rPr>
                <w:rFonts w:ascii="Times New Roman" w:hAnsi="Times New Roman"/>
                <w:sz w:val="18"/>
                <w:szCs w:val="18"/>
              </w:rPr>
            </w:pPr>
          </w:p>
        </w:tc>
        <w:tc>
          <w:tcPr>
            <w:tcW w:w="668" w:type="dxa"/>
            <w:vMerge w:val="continue"/>
            <w:tcBorders>
              <w:left w:val="single" w:color="auto" w:sz="4" w:space="0"/>
              <w:right w:val="single" w:color="auto" w:sz="4" w:space="0"/>
            </w:tcBorders>
            <w:vAlign w:val="center"/>
          </w:tcPr>
          <w:p w14:paraId="59B44CA4">
            <w:pPr>
              <w:snapToGrid w:val="0"/>
              <w:spacing w:line="240" w:lineRule="auto"/>
              <w:jc w:val="center"/>
              <w:rPr>
                <w:rFonts w:ascii="Times New Roman" w:hAnsi="Times New Roman"/>
                <w:sz w:val="18"/>
                <w:szCs w:val="18"/>
              </w:rPr>
            </w:pPr>
          </w:p>
        </w:tc>
        <w:tc>
          <w:tcPr>
            <w:tcW w:w="1559" w:type="dxa"/>
            <w:tcBorders>
              <w:top w:val="single" w:color="auto" w:sz="4" w:space="0"/>
              <w:left w:val="single" w:color="auto" w:sz="4" w:space="0"/>
              <w:bottom w:val="single" w:color="auto" w:sz="4" w:space="0"/>
              <w:right w:val="single" w:color="auto" w:sz="4" w:space="0"/>
            </w:tcBorders>
            <w:vAlign w:val="center"/>
          </w:tcPr>
          <w:p w14:paraId="74ED286F">
            <w:pPr>
              <w:snapToGrid w:val="0"/>
              <w:spacing w:line="240" w:lineRule="auto"/>
              <w:jc w:val="center"/>
              <w:rPr>
                <w:rFonts w:ascii="Times New Roman" w:hAnsi="Times New Roman"/>
                <w:sz w:val="18"/>
                <w:szCs w:val="18"/>
              </w:rPr>
            </w:pPr>
            <w:r>
              <w:rPr>
                <w:rFonts w:ascii="Times New Roman" w:hAnsi="Times New Roman"/>
                <w:sz w:val="18"/>
                <w:szCs w:val="18"/>
              </w:rPr>
              <w:t>品牌美誉度</w:t>
            </w:r>
          </w:p>
        </w:tc>
        <w:tc>
          <w:tcPr>
            <w:tcW w:w="2268" w:type="dxa"/>
            <w:tcBorders>
              <w:top w:val="single" w:color="auto" w:sz="4" w:space="0"/>
              <w:left w:val="single" w:color="auto" w:sz="4" w:space="0"/>
              <w:bottom w:val="single" w:color="auto" w:sz="4" w:space="0"/>
              <w:right w:val="single" w:color="auto" w:sz="4" w:space="0"/>
            </w:tcBorders>
            <w:vAlign w:val="center"/>
          </w:tcPr>
          <w:p w14:paraId="49352A00">
            <w:pPr>
              <w:snapToGrid w:val="0"/>
              <w:spacing w:line="240" w:lineRule="auto"/>
              <w:jc w:val="left"/>
              <w:rPr>
                <w:rFonts w:ascii="Times New Roman" w:hAnsi="Times New Roman"/>
                <w:sz w:val="18"/>
                <w:szCs w:val="18"/>
              </w:rPr>
            </w:pPr>
            <w:r>
              <w:rPr>
                <w:rFonts w:ascii="Times New Roman" w:hAnsi="Times New Roman"/>
                <w:sz w:val="18"/>
                <w:szCs w:val="18"/>
              </w:rPr>
              <w:t>对品牌乡村的正面评价、</w:t>
            </w:r>
            <w:r>
              <w:rPr>
                <w:rFonts w:hint="eastAsia" w:ascii="Times New Roman" w:hAnsi="Times New Roman"/>
                <w:sz w:val="18"/>
                <w:szCs w:val="18"/>
              </w:rPr>
              <w:t>情感偏好。</w:t>
            </w:r>
          </w:p>
        </w:tc>
        <w:tc>
          <w:tcPr>
            <w:tcW w:w="3118" w:type="dxa"/>
            <w:tcBorders>
              <w:top w:val="single" w:color="auto" w:sz="4" w:space="0"/>
              <w:left w:val="single" w:color="auto" w:sz="4" w:space="0"/>
              <w:bottom w:val="single" w:color="auto" w:sz="4" w:space="0"/>
              <w:right w:val="single" w:color="auto" w:sz="4" w:space="0"/>
            </w:tcBorders>
            <w:vAlign w:val="center"/>
          </w:tcPr>
          <w:p w14:paraId="17992F9F">
            <w:pPr>
              <w:snapToGrid w:val="0"/>
              <w:spacing w:line="240" w:lineRule="auto"/>
              <w:rPr>
                <w:rFonts w:ascii="Times New Roman" w:hAnsi="Times New Roman"/>
                <w:color w:val="000000" w:themeColor="text1"/>
                <w:sz w:val="18"/>
                <w:szCs w:val="18"/>
                <w14:textFill>
                  <w14:solidFill>
                    <w14:schemeClr w14:val="tx1"/>
                  </w14:solidFill>
                </w14:textFill>
              </w:rPr>
            </w:pPr>
            <w:r>
              <w:rPr>
                <w:rFonts w:ascii="Times New Roman" w:hAnsi="Times New Roman"/>
                <w:sz w:val="18"/>
                <w:szCs w:val="18"/>
              </w:rPr>
              <w:t>村民和</w:t>
            </w:r>
            <w:r>
              <w:rPr>
                <w:rFonts w:hint="eastAsia" w:ascii="Times New Roman" w:hAnsi="Times New Roman"/>
                <w:sz w:val="18"/>
                <w:szCs w:val="18"/>
              </w:rPr>
              <w:t>旅客</w:t>
            </w:r>
            <w:r>
              <w:rPr>
                <w:rFonts w:ascii="Times New Roman" w:hAnsi="Times New Roman"/>
                <w:sz w:val="18"/>
                <w:szCs w:val="18"/>
              </w:rPr>
              <w:t>正面评价</w:t>
            </w:r>
            <w:r>
              <w:rPr>
                <w:rFonts w:hint="eastAsia" w:ascii="Times New Roman" w:hAnsi="Times New Roman"/>
                <w:sz w:val="18"/>
                <w:szCs w:val="18"/>
              </w:rPr>
              <w:t>信息量排名</w:t>
            </w:r>
            <w:r>
              <w:rPr>
                <w:rFonts w:ascii="Times New Roman" w:hAnsi="Times New Roman"/>
                <w:sz w:val="18"/>
                <w:szCs w:val="18"/>
              </w:rPr>
              <w:t>，</w:t>
            </w:r>
            <w:r>
              <w:rPr>
                <w:rFonts w:hint="eastAsia" w:ascii="Times New Roman" w:hAnsi="Times New Roman"/>
                <w:sz w:val="18"/>
                <w:szCs w:val="18"/>
              </w:rPr>
              <w:t>排名前30%的，</w:t>
            </w:r>
            <w:r>
              <w:rPr>
                <w:rFonts w:ascii="Times New Roman" w:hAnsi="Times New Roman"/>
                <w:sz w:val="18"/>
                <w:szCs w:val="18"/>
              </w:rPr>
              <w:t>2分；</w:t>
            </w:r>
            <w:r>
              <w:rPr>
                <w:rFonts w:ascii="Times New Roman" w:hAnsi="Times New Roman"/>
                <w:color w:val="000000" w:themeColor="text1"/>
                <w:sz w:val="18"/>
                <w:szCs w:val="18"/>
                <w14:textFill>
                  <w14:solidFill>
                    <w14:schemeClr w14:val="tx1"/>
                  </w14:solidFill>
                </w14:textFill>
              </w:rPr>
              <w:t>媒体正面评价报道</w:t>
            </w:r>
            <w:r>
              <w:rPr>
                <w:rFonts w:hint="eastAsia" w:ascii="Times New Roman" w:hAnsi="Times New Roman"/>
                <w:color w:val="000000" w:themeColor="text1"/>
                <w:sz w:val="18"/>
                <w:szCs w:val="18"/>
                <w14:textFill>
                  <w14:solidFill>
                    <w14:schemeClr w14:val="tx1"/>
                  </w14:solidFill>
                </w14:textFill>
              </w:rPr>
              <w:t>量排名</w:t>
            </w:r>
            <w:r>
              <w:rPr>
                <w:rFonts w:ascii="Times New Roman" w:hAnsi="Times New Roman"/>
                <w:color w:val="000000" w:themeColor="text1"/>
                <w:sz w:val="18"/>
                <w:szCs w:val="18"/>
                <w14:textFill>
                  <w14:solidFill>
                    <w14:schemeClr w14:val="tx1"/>
                  </w14:solidFill>
                </w14:textFill>
              </w:rPr>
              <w:t>，</w:t>
            </w:r>
            <w:r>
              <w:rPr>
                <w:rFonts w:hint="eastAsia" w:ascii="Times New Roman" w:hAnsi="Times New Roman"/>
                <w:color w:val="000000" w:themeColor="text1"/>
                <w:sz w:val="18"/>
                <w:szCs w:val="18"/>
                <w14:textFill>
                  <w14:solidFill>
                    <w14:schemeClr w14:val="tx1"/>
                  </w14:solidFill>
                </w14:textFill>
              </w:rPr>
              <w:t>排名前30%的，</w:t>
            </w:r>
            <w:r>
              <w:rPr>
                <w:rFonts w:ascii="Times New Roman" w:hAnsi="Times New Roman"/>
                <w:sz w:val="18"/>
                <w:szCs w:val="18"/>
              </w:rPr>
              <w:t>2分；获得</w:t>
            </w:r>
            <w:r>
              <w:rPr>
                <w:rFonts w:hint="eastAsia" w:ascii="Times New Roman" w:hAnsi="Times New Roman"/>
                <w:sz w:val="18"/>
                <w:szCs w:val="18"/>
              </w:rPr>
              <w:t>各类相关</w:t>
            </w:r>
            <w:r>
              <w:rPr>
                <w:rFonts w:ascii="Times New Roman" w:hAnsi="Times New Roman"/>
                <w:sz w:val="18"/>
                <w:szCs w:val="18"/>
              </w:rPr>
              <w:t>荣誉，1分。</w:t>
            </w:r>
          </w:p>
        </w:tc>
        <w:tc>
          <w:tcPr>
            <w:tcW w:w="851" w:type="dxa"/>
            <w:tcBorders>
              <w:top w:val="single" w:color="auto" w:sz="4" w:space="0"/>
              <w:left w:val="single" w:color="auto" w:sz="4" w:space="0"/>
              <w:bottom w:val="single" w:color="auto" w:sz="4" w:space="0"/>
              <w:right w:val="single" w:color="auto" w:sz="4" w:space="0"/>
            </w:tcBorders>
            <w:vAlign w:val="center"/>
          </w:tcPr>
          <w:p w14:paraId="6AC4B6A2">
            <w:pPr>
              <w:snapToGrid w:val="0"/>
              <w:spacing w:line="240" w:lineRule="auto"/>
              <w:jc w:val="center"/>
              <w:rPr>
                <w:rFonts w:ascii="Times New Roman" w:hAnsi="Times New Roman"/>
                <w:sz w:val="18"/>
                <w:szCs w:val="18"/>
              </w:rPr>
            </w:pPr>
            <w:r>
              <w:rPr>
                <w:rFonts w:hint="eastAsia" w:ascii="Times New Roman" w:hAnsi="Times New Roman"/>
                <w:sz w:val="18"/>
                <w:szCs w:val="18"/>
              </w:rPr>
              <w:t>【0-5】</w:t>
            </w:r>
          </w:p>
        </w:tc>
      </w:tr>
      <w:tr w14:paraId="4F402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779" w:type="dxa"/>
            <w:vMerge w:val="continue"/>
            <w:tcBorders>
              <w:left w:val="single" w:color="auto" w:sz="4" w:space="0"/>
              <w:right w:val="single" w:color="auto" w:sz="4" w:space="0"/>
            </w:tcBorders>
            <w:vAlign w:val="center"/>
          </w:tcPr>
          <w:p w14:paraId="2A9B2294">
            <w:pPr>
              <w:snapToGrid w:val="0"/>
              <w:spacing w:line="240" w:lineRule="auto"/>
              <w:jc w:val="center"/>
              <w:rPr>
                <w:rFonts w:ascii="Times New Roman" w:hAnsi="Times New Roman"/>
                <w:sz w:val="18"/>
                <w:szCs w:val="18"/>
              </w:rPr>
            </w:pPr>
          </w:p>
        </w:tc>
        <w:tc>
          <w:tcPr>
            <w:tcW w:w="668" w:type="dxa"/>
            <w:vMerge w:val="continue"/>
            <w:tcBorders>
              <w:left w:val="single" w:color="auto" w:sz="4" w:space="0"/>
              <w:right w:val="single" w:color="auto" w:sz="4" w:space="0"/>
            </w:tcBorders>
            <w:vAlign w:val="center"/>
          </w:tcPr>
          <w:p w14:paraId="1C8A5864">
            <w:pPr>
              <w:snapToGrid w:val="0"/>
              <w:spacing w:line="240" w:lineRule="auto"/>
              <w:jc w:val="center"/>
              <w:rPr>
                <w:rFonts w:ascii="Times New Roman" w:hAnsi="Times New Roman"/>
                <w:sz w:val="18"/>
                <w:szCs w:val="18"/>
              </w:rPr>
            </w:pPr>
          </w:p>
        </w:tc>
        <w:tc>
          <w:tcPr>
            <w:tcW w:w="1559" w:type="dxa"/>
            <w:tcBorders>
              <w:top w:val="single" w:color="auto" w:sz="4" w:space="0"/>
              <w:left w:val="single" w:color="auto" w:sz="4" w:space="0"/>
              <w:bottom w:val="single" w:color="auto" w:sz="4" w:space="0"/>
              <w:right w:val="single" w:color="auto" w:sz="4" w:space="0"/>
            </w:tcBorders>
            <w:vAlign w:val="center"/>
          </w:tcPr>
          <w:p w14:paraId="026DC465">
            <w:pPr>
              <w:snapToGrid w:val="0"/>
              <w:spacing w:line="240" w:lineRule="auto"/>
              <w:jc w:val="center"/>
              <w:rPr>
                <w:rFonts w:ascii="Times New Roman" w:hAnsi="Times New Roman"/>
                <w:sz w:val="18"/>
                <w:szCs w:val="18"/>
              </w:rPr>
            </w:pPr>
            <w:r>
              <w:rPr>
                <w:rFonts w:ascii="Times New Roman" w:hAnsi="Times New Roman"/>
                <w:sz w:val="18"/>
                <w:szCs w:val="18"/>
              </w:rPr>
              <w:t>品牌忠诚度</w:t>
            </w:r>
          </w:p>
        </w:tc>
        <w:tc>
          <w:tcPr>
            <w:tcW w:w="2268" w:type="dxa"/>
            <w:tcBorders>
              <w:top w:val="single" w:color="auto" w:sz="4" w:space="0"/>
              <w:left w:val="single" w:color="auto" w:sz="4" w:space="0"/>
              <w:bottom w:val="single" w:color="auto" w:sz="4" w:space="0"/>
              <w:right w:val="single" w:color="auto" w:sz="4" w:space="0"/>
            </w:tcBorders>
            <w:vAlign w:val="center"/>
          </w:tcPr>
          <w:p w14:paraId="4813FA2B">
            <w:pPr>
              <w:snapToGrid w:val="0"/>
              <w:spacing w:line="240" w:lineRule="auto"/>
              <w:jc w:val="left"/>
              <w:rPr>
                <w:rFonts w:ascii="Times New Roman" w:hAnsi="Times New Roman"/>
                <w:sz w:val="18"/>
                <w:szCs w:val="18"/>
              </w:rPr>
            </w:pPr>
            <w:r>
              <w:rPr>
                <w:rFonts w:hint="eastAsia" w:ascii="Times New Roman" w:hAnsi="Times New Roman"/>
                <w:sz w:val="18"/>
                <w:szCs w:val="18"/>
              </w:rPr>
              <w:t>对品牌乡村的信任程度。</w:t>
            </w:r>
          </w:p>
        </w:tc>
        <w:tc>
          <w:tcPr>
            <w:tcW w:w="3118" w:type="dxa"/>
            <w:tcBorders>
              <w:top w:val="single" w:color="auto" w:sz="4" w:space="0"/>
              <w:left w:val="single" w:color="auto" w:sz="4" w:space="0"/>
              <w:bottom w:val="single" w:color="auto" w:sz="4" w:space="0"/>
              <w:right w:val="single" w:color="auto" w:sz="4" w:space="0"/>
            </w:tcBorders>
            <w:vAlign w:val="center"/>
          </w:tcPr>
          <w:p w14:paraId="417130E8">
            <w:pPr>
              <w:snapToGrid w:val="0"/>
              <w:spacing w:line="240" w:lineRule="auto"/>
              <w:rPr>
                <w:rFonts w:ascii="Times New Roman" w:hAnsi="Times New Roman"/>
                <w:color w:val="000000" w:themeColor="text1"/>
                <w:sz w:val="18"/>
                <w:szCs w:val="18"/>
                <w14:textFill>
                  <w14:solidFill>
                    <w14:schemeClr w14:val="tx1"/>
                  </w14:solidFill>
                </w14:textFill>
              </w:rPr>
            </w:pPr>
            <w:r>
              <w:rPr>
                <w:rFonts w:hint="eastAsia" w:ascii="Times New Roman" w:hAnsi="Times New Roman"/>
                <w:sz w:val="18"/>
                <w:szCs w:val="18"/>
              </w:rPr>
              <w:t>村民长期居住意愿</w:t>
            </w:r>
            <w:r>
              <w:rPr>
                <w:rFonts w:ascii="Times New Roman" w:hAnsi="Times New Roman"/>
                <w:sz w:val="18"/>
                <w:szCs w:val="18"/>
              </w:rPr>
              <w:t>，</w:t>
            </w:r>
            <w:r>
              <w:rPr>
                <w:rFonts w:hint="eastAsia" w:ascii="Times New Roman" w:hAnsi="Times New Roman"/>
                <w:sz w:val="18"/>
                <w:szCs w:val="18"/>
              </w:rPr>
              <w:t>85%以上村民愿意长期居住的，5分；75%至84%村民愿意长期居住的，3分；65%至74%村民愿意长期居住的，1分；低于65%的，0分。</w:t>
            </w:r>
          </w:p>
        </w:tc>
        <w:tc>
          <w:tcPr>
            <w:tcW w:w="851" w:type="dxa"/>
            <w:tcBorders>
              <w:top w:val="single" w:color="auto" w:sz="4" w:space="0"/>
              <w:left w:val="single" w:color="auto" w:sz="4" w:space="0"/>
              <w:bottom w:val="single" w:color="auto" w:sz="4" w:space="0"/>
              <w:right w:val="single" w:color="auto" w:sz="4" w:space="0"/>
            </w:tcBorders>
            <w:vAlign w:val="center"/>
          </w:tcPr>
          <w:p w14:paraId="2E6E0EF2">
            <w:pPr>
              <w:snapToGrid w:val="0"/>
              <w:spacing w:line="240" w:lineRule="auto"/>
              <w:jc w:val="center"/>
              <w:rPr>
                <w:rFonts w:ascii="Times New Roman" w:hAnsi="Times New Roman"/>
                <w:sz w:val="18"/>
                <w:szCs w:val="18"/>
              </w:rPr>
            </w:pPr>
            <w:r>
              <w:rPr>
                <w:rFonts w:hint="eastAsia" w:ascii="Times New Roman" w:hAnsi="Times New Roman"/>
                <w:sz w:val="18"/>
                <w:szCs w:val="18"/>
              </w:rPr>
              <w:t>【0-5】</w:t>
            </w:r>
          </w:p>
        </w:tc>
      </w:tr>
      <w:tr w14:paraId="54DE2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779" w:type="dxa"/>
            <w:vMerge w:val="restart"/>
            <w:tcBorders>
              <w:left w:val="single" w:color="auto" w:sz="4" w:space="0"/>
              <w:right w:val="single" w:color="auto" w:sz="4" w:space="0"/>
            </w:tcBorders>
            <w:vAlign w:val="center"/>
          </w:tcPr>
          <w:p w14:paraId="48246613">
            <w:pPr>
              <w:snapToGrid w:val="0"/>
              <w:spacing w:line="240" w:lineRule="auto"/>
              <w:jc w:val="center"/>
              <w:rPr>
                <w:rFonts w:ascii="Times New Roman" w:hAnsi="Times New Roman"/>
                <w:sz w:val="18"/>
                <w:szCs w:val="18"/>
              </w:rPr>
            </w:pPr>
            <w:r>
              <w:rPr>
                <w:rFonts w:hint="eastAsia" w:ascii="Times New Roman" w:hAnsi="Times New Roman"/>
                <w:b/>
                <w:bCs/>
              </w:rPr>
              <w:t>品牌贡献要素</w:t>
            </w:r>
          </w:p>
        </w:tc>
        <w:tc>
          <w:tcPr>
            <w:tcW w:w="668" w:type="dxa"/>
            <w:vMerge w:val="restart"/>
            <w:tcBorders>
              <w:left w:val="single" w:color="auto" w:sz="4" w:space="0"/>
              <w:right w:val="single" w:color="auto" w:sz="4" w:space="0"/>
            </w:tcBorders>
            <w:vAlign w:val="center"/>
          </w:tcPr>
          <w:p w14:paraId="376CC8D6">
            <w:pPr>
              <w:snapToGrid w:val="0"/>
              <w:spacing w:line="240" w:lineRule="auto"/>
              <w:jc w:val="center"/>
              <w:rPr>
                <w:rFonts w:ascii="Times New Roman" w:hAnsi="Times New Roman"/>
                <w:sz w:val="18"/>
                <w:szCs w:val="18"/>
              </w:rPr>
            </w:pPr>
            <w:r>
              <w:rPr>
                <w:rFonts w:hint="eastAsia" w:ascii="Times New Roman" w:hAnsi="Times New Roman"/>
                <w:b/>
                <w:bCs/>
                <w:sz w:val="18"/>
                <w:szCs w:val="18"/>
              </w:rPr>
              <w:t>产业带动力</w:t>
            </w:r>
          </w:p>
        </w:tc>
        <w:tc>
          <w:tcPr>
            <w:tcW w:w="1559" w:type="dxa"/>
            <w:tcBorders>
              <w:top w:val="single" w:color="auto" w:sz="4" w:space="0"/>
              <w:left w:val="single" w:color="auto" w:sz="4" w:space="0"/>
              <w:bottom w:val="single" w:color="auto" w:sz="4" w:space="0"/>
              <w:right w:val="single" w:color="auto" w:sz="4" w:space="0"/>
            </w:tcBorders>
            <w:vAlign w:val="center"/>
          </w:tcPr>
          <w:p w14:paraId="63617CBA">
            <w:pPr>
              <w:snapToGrid w:val="0"/>
              <w:spacing w:line="240" w:lineRule="auto"/>
              <w:jc w:val="center"/>
              <w:rPr>
                <w:rFonts w:ascii="Times New Roman" w:hAnsi="Times New Roman"/>
                <w:sz w:val="18"/>
                <w:szCs w:val="18"/>
              </w:rPr>
            </w:pPr>
            <w:r>
              <w:rPr>
                <w:rFonts w:ascii="Times New Roman" w:hAnsi="Times New Roman"/>
                <w:color w:val="000000" w:themeColor="text1"/>
                <w:sz w:val="18"/>
                <w:szCs w:val="18"/>
                <w14:textFill>
                  <w14:solidFill>
                    <w14:schemeClr w14:val="tx1"/>
                  </w14:solidFill>
                </w14:textFill>
              </w:rPr>
              <w:t>招商引资项目</w:t>
            </w:r>
          </w:p>
        </w:tc>
        <w:tc>
          <w:tcPr>
            <w:tcW w:w="2268" w:type="dxa"/>
            <w:tcBorders>
              <w:top w:val="single" w:color="auto" w:sz="4" w:space="0"/>
              <w:left w:val="single" w:color="auto" w:sz="4" w:space="0"/>
              <w:bottom w:val="single" w:color="auto" w:sz="4" w:space="0"/>
              <w:right w:val="single" w:color="auto" w:sz="4" w:space="0"/>
            </w:tcBorders>
          </w:tcPr>
          <w:p w14:paraId="5C9D3850">
            <w:pPr>
              <w:pStyle w:val="6"/>
              <w:tabs>
                <w:tab w:val="center" w:pos="4201"/>
                <w:tab w:val="right" w:leader="dot" w:pos="9298"/>
              </w:tabs>
              <w:autoSpaceDE w:val="0"/>
              <w:autoSpaceDN w:val="0"/>
              <w:adjustRightInd w:val="0"/>
              <w:snapToGrid w:val="0"/>
              <w:spacing w:before="0" w:beforeAutospacing="0" w:after="0" w:afterAutospacing="0"/>
              <w:rPr>
                <w:rFonts w:ascii="Times New Roman" w:hAnsi="Times New Roman" w:cs="Times New Roman"/>
                <w:color w:val="000000" w:themeColor="text1"/>
                <w:kern w:val="2"/>
                <w:sz w:val="18"/>
                <w:szCs w:val="18"/>
                <w14:textFill>
                  <w14:solidFill>
                    <w14:schemeClr w14:val="tx1"/>
                  </w14:solidFill>
                </w14:textFill>
              </w:rPr>
            </w:pPr>
            <w:r>
              <w:rPr>
                <w:rFonts w:ascii="Times New Roman" w:hAnsi="Times New Roman" w:cs="Times New Roman"/>
                <w:color w:val="000000" w:themeColor="text1"/>
                <w:kern w:val="2"/>
                <w:sz w:val="18"/>
                <w:szCs w:val="18"/>
                <w14:textFill>
                  <w14:solidFill>
                    <w14:schemeClr w14:val="tx1"/>
                  </w14:solidFill>
                </w14:textFill>
              </w:rPr>
              <w:t>乡村因品牌建设而引进的商业项目</w:t>
            </w:r>
            <w:r>
              <w:rPr>
                <w:rFonts w:hint="eastAsia" w:ascii="Times New Roman" w:hAnsi="Times New Roman" w:cs="Times New Roman"/>
                <w:color w:val="000000" w:themeColor="text1"/>
                <w:kern w:val="2"/>
                <w:sz w:val="18"/>
                <w:szCs w:val="18"/>
                <w14:textFill>
                  <w14:solidFill>
                    <w14:schemeClr w14:val="tx1"/>
                  </w14:solidFill>
                </w14:textFill>
              </w:rPr>
              <w:t>。</w:t>
            </w:r>
          </w:p>
          <w:p w14:paraId="2DFAD43F">
            <w:pPr>
              <w:snapToGrid w:val="0"/>
              <w:spacing w:line="240" w:lineRule="auto"/>
              <w:jc w:val="left"/>
              <w:rPr>
                <w:rFonts w:ascii="Times New Roman" w:hAnsi="Times New Roman"/>
                <w:sz w:val="18"/>
                <w:szCs w:val="18"/>
              </w:rPr>
            </w:pPr>
          </w:p>
        </w:tc>
        <w:tc>
          <w:tcPr>
            <w:tcW w:w="3118" w:type="dxa"/>
            <w:tcBorders>
              <w:top w:val="single" w:color="auto" w:sz="4" w:space="0"/>
              <w:left w:val="single" w:color="auto" w:sz="4" w:space="0"/>
              <w:bottom w:val="single" w:color="auto" w:sz="4" w:space="0"/>
              <w:right w:val="single" w:color="auto" w:sz="4" w:space="0"/>
            </w:tcBorders>
            <w:vAlign w:val="center"/>
          </w:tcPr>
          <w:p w14:paraId="0AAD4537">
            <w:pPr>
              <w:snapToGrid w:val="0"/>
              <w:spacing w:line="240" w:lineRule="auto"/>
              <w:jc w:val="left"/>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按引进商业项目个数</w:t>
            </w:r>
            <w:r>
              <w:rPr>
                <w:rFonts w:hint="eastAsia" w:ascii="Times New Roman" w:hAnsi="Times New Roman"/>
                <w:color w:val="000000" w:themeColor="text1"/>
                <w:sz w:val="18"/>
                <w:szCs w:val="18"/>
                <w14:textFill>
                  <w14:solidFill>
                    <w14:schemeClr w14:val="tx1"/>
                  </w14:solidFill>
                </w14:textFill>
              </w:rPr>
              <w:t>，3个及以上，3分；2个，2分；1个，1分；单个项目金额巨大者，酌情给分，1-2分；总分不超过3分。</w:t>
            </w:r>
          </w:p>
        </w:tc>
        <w:tc>
          <w:tcPr>
            <w:tcW w:w="851" w:type="dxa"/>
            <w:tcBorders>
              <w:top w:val="single" w:color="auto" w:sz="4" w:space="0"/>
              <w:left w:val="single" w:color="auto" w:sz="4" w:space="0"/>
              <w:bottom w:val="single" w:color="auto" w:sz="4" w:space="0"/>
              <w:right w:val="single" w:color="auto" w:sz="4" w:space="0"/>
            </w:tcBorders>
            <w:vAlign w:val="center"/>
          </w:tcPr>
          <w:p w14:paraId="3444F7AB">
            <w:pPr>
              <w:snapToGrid w:val="0"/>
              <w:spacing w:line="240" w:lineRule="auto"/>
              <w:jc w:val="center"/>
              <w:rPr>
                <w:rFonts w:ascii="Times New Roman" w:hAnsi="Times New Roman"/>
                <w:sz w:val="18"/>
                <w:szCs w:val="18"/>
              </w:rPr>
            </w:pPr>
            <w:r>
              <w:rPr>
                <w:rFonts w:hint="eastAsia" w:ascii="Times New Roman" w:hAnsi="Times New Roman"/>
                <w:sz w:val="18"/>
                <w:szCs w:val="18"/>
              </w:rPr>
              <w:t>【0-3】</w:t>
            </w:r>
          </w:p>
        </w:tc>
      </w:tr>
      <w:tr w14:paraId="07471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779" w:type="dxa"/>
            <w:vMerge w:val="continue"/>
            <w:tcBorders>
              <w:left w:val="single" w:color="auto" w:sz="4" w:space="0"/>
              <w:right w:val="single" w:color="auto" w:sz="4" w:space="0"/>
            </w:tcBorders>
          </w:tcPr>
          <w:p w14:paraId="6D8BC323">
            <w:pPr>
              <w:snapToGrid w:val="0"/>
              <w:spacing w:line="240" w:lineRule="auto"/>
              <w:jc w:val="center"/>
              <w:rPr>
                <w:rFonts w:ascii="Times New Roman" w:hAnsi="Times New Roman"/>
                <w:sz w:val="18"/>
                <w:szCs w:val="18"/>
              </w:rPr>
            </w:pPr>
          </w:p>
        </w:tc>
        <w:tc>
          <w:tcPr>
            <w:tcW w:w="668" w:type="dxa"/>
            <w:vMerge w:val="continue"/>
            <w:tcBorders>
              <w:left w:val="single" w:color="auto" w:sz="4" w:space="0"/>
              <w:right w:val="single" w:color="auto" w:sz="4" w:space="0"/>
            </w:tcBorders>
            <w:vAlign w:val="center"/>
          </w:tcPr>
          <w:p w14:paraId="25CA189E">
            <w:pPr>
              <w:snapToGrid w:val="0"/>
              <w:spacing w:line="240" w:lineRule="auto"/>
              <w:jc w:val="center"/>
              <w:rPr>
                <w:rFonts w:ascii="Times New Roman" w:hAnsi="Times New Roman"/>
                <w:sz w:val="18"/>
                <w:szCs w:val="18"/>
              </w:rPr>
            </w:pPr>
          </w:p>
        </w:tc>
        <w:tc>
          <w:tcPr>
            <w:tcW w:w="1559" w:type="dxa"/>
            <w:tcBorders>
              <w:top w:val="single" w:color="auto" w:sz="4" w:space="0"/>
              <w:left w:val="single" w:color="auto" w:sz="4" w:space="0"/>
              <w:bottom w:val="single" w:color="auto" w:sz="4" w:space="0"/>
              <w:right w:val="single" w:color="auto" w:sz="4" w:space="0"/>
            </w:tcBorders>
            <w:vAlign w:val="center"/>
          </w:tcPr>
          <w:p w14:paraId="551F2576">
            <w:pPr>
              <w:snapToGrid w:val="0"/>
              <w:spacing w:line="240" w:lineRule="auto"/>
              <w:jc w:val="center"/>
              <w:rPr>
                <w:rFonts w:ascii="Times New Roman" w:hAnsi="Times New Roman"/>
                <w:sz w:val="18"/>
                <w:szCs w:val="18"/>
              </w:rPr>
            </w:pPr>
            <w:r>
              <w:rPr>
                <w:rFonts w:ascii="Times New Roman" w:hAnsi="Times New Roman"/>
                <w:sz w:val="18"/>
                <w:szCs w:val="18"/>
              </w:rPr>
              <w:t>品牌融合度</w:t>
            </w:r>
          </w:p>
        </w:tc>
        <w:tc>
          <w:tcPr>
            <w:tcW w:w="2268" w:type="dxa"/>
            <w:tcBorders>
              <w:top w:val="single" w:color="auto" w:sz="4" w:space="0"/>
              <w:left w:val="single" w:color="auto" w:sz="4" w:space="0"/>
              <w:bottom w:val="single" w:color="auto" w:sz="4" w:space="0"/>
              <w:right w:val="single" w:color="auto" w:sz="4" w:space="0"/>
            </w:tcBorders>
          </w:tcPr>
          <w:p w14:paraId="26ED0552">
            <w:pPr>
              <w:pStyle w:val="6"/>
              <w:tabs>
                <w:tab w:val="center" w:pos="4201"/>
                <w:tab w:val="right" w:leader="dot" w:pos="9298"/>
              </w:tabs>
              <w:autoSpaceDE w:val="0"/>
              <w:autoSpaceDN w:val="0"/>
              <w:adjustRightInd w:val="0"/>
              <w:snapToGrid w:val="0"/>
              <w:spacing w:before="0" w:beforeAutospacing="0" w:after="0" w:afterAutospacing="0"/>
              <w:rPr>
                <w:rFonts w:ascii="Times New Roman" w:hAnsi="Times New Roman" w:cs="Times New Roman"/>
                <w:kern w:val="2"/>
                <w:sz w:val="18"/>
                <w:szCs w:val="18"/>
              </w:rPr>
            </w:pPr>
            <w:r>
              <w:rPr>
                <w:rFonts w:ascii="Times New Roman" w:hAnsi="Times New Roman" w:cs="Times New Roman"/>
                <w:kern w:val="2"/>
                <w:sz w:val="18"/>
                <w:szCs w:val="18"/>
              </w:rPr>
              <w:t>产业融合、产村融合、产城融合程度</w:t>
            </w:r>
            <w:r>
              <w:rPr>
                <w:rFonts w:hint="eastAsia" w:ascii="Times New Roman" w:hAnsi="Times New Roman" w:cs="Times New Roman"/>
                <w:kern w:val="2"/>
                <w:sz w:val="18"/>
                <w:szCs w:val="18"/>
              </w:rPr>
              <w:t>。</w:t>
            </w:r>
          </w:p>
        </w:tc>
        <w:tc>
          <w:tcPr>
            <w:tcW w:w="3118" w:type="dxa"/>
            <w:tcBorders>
              <w:top w:val="single" w:color="auto" w:sz="4" w:space="0"/>
              <w:left w:val="single" w:color="auto" w:sz="4" w:space="0"/>
              <w:bottom w:val="single" w:color="auto" w:sz="4" w:space="0"/>
              <w:right w:val="single" w:color="auto" w:sz="4" w:space="0"/>
            </w:tcBorders>
            <w:vAlign w:val="center"/>
          </w:tcPr>
          <w:p w14:paraId="6DF1F261">
            <w:pPr>
              <w:snapToGrid w:val="0"/>
              <w:spacing w:line="240" w:lineRule="auto"/>
              <w:jc w:val="left"/>
              <w:rPr>
                <w:rFonts w:ascii="Times New Roman" w:hAnsi="Times New Roman"/>
                <w:color w:val="000000" w:themeColor="text1"/>
                <w:sz w:val="18"/>
                <w:szCs w:val="18"/>
                <w14:textFill>
                  <w14:solidFill>
                    <w14:schemeClr w14:val="tx1"/>
                  </w14:solidFill>
                </w14:textFill>
              </w:rPr>
            </w:pPr>
            <w:r>
              <w:rPr>
                <w:rFonts w:hint="eastAsia" w:ascii="Times New Roman" w:hAnsi="Times New Roman"/>
                <w:sz w:val="18"/>
                <w:szCs w:val="18"/>
              </w:rPr>
              <w:t>三产</w:t>
            </w:r>
            <w:r>
              <w:rPr>
                <w:rFonts w:ascii="Times New Roman" w:hAnsi="Times New Roman"/>
                <w:sz w:val="18"/>
                <w:szCs w:val="18"/>
              </w:rPr>
              <w:t>融合较好，4分；</w:t>
            </w:r>
            <w:r>
              <w:rPr>
                <w:rFonts w:hint="eastAsia" w:ascii="Times New Roman" w:hAnsi="Times New Roman"/>
                <w:sz w:val="18"/>
                <w:szCs w:val="18"/>
              </w:rPr>
              <w:t>三产融合程度不高</w:t>
            </w:r>
            <w:r>
              <w:rPr>
                <w:rFonts w:ascii="Times New Roman" w:hAnsi="Times New Roman"/>
                <w:sz w:val="18"/>
                <w:szCs w:val="18"/>
              </w:rPr>
              <w:t>，关联性不强，3分；</w:t>
            </w:r>
            <w:r>
              <w:rPr>
                <w:rFonts w:hint="eastAsia" w:ascii="Times New Roman" w:hAnsi="Times New Roman"/>
                <w:sz w:val="18"/>
                <w:szCs w:val="18"/>
              </w:rPr>
              <w:t>仅有一个产业的，</w:t>
            </w:r>
            <w:r>
              <w:rPr>
                <w:rFonts w:ascii="Times New Roman" w:hAnsi="Times New Roman"/>
                <w:sz w:val="18"/>
                <w:szCs w:val="18"/>
              </w:rPr>
              <w:t>1分。</w:t>
            </w:r>
          </w:p>
        </w:tc>
        <w:tc>
          <w:tcPr>
            <w:tcW w:w="851" w:type="dxa"/>
            <w:tcBorders>
              <w:top w:val="single" w:color="auto" w:sz="4" w:space="0"/>
              <w:left w:val="single" w:color="auto" w:sz="4" w:space="0"/>
              <w:bottom w:val="single" w:color="auto" w:sz="4" w:space="0"/>
              <w:right w:val="single" w:color="auto" w:sz="4" w:space="0"/>
            </w:tcBorders>
            <w:vAlign w:val="center"/>
          </w:tcPr>
          <w:p w14:paraId="75EC5A09">
            <w:pPr>
              <w:snapToGrid w:val="0"/>
              <w:spacing w:line="240" w:lineRule="auto"/>
              <w:jc w:val="center"/>
              <w:rPr>
                <w:rFonts w:ascii="Times New Roman" w:hAnsi="Times New Roman"/>
                <w:sz w:val="18"/>
                <w:szCs w:val="18"/>
              </w:rPr>
            </w:pPr>
            <w:r>
              <w:rPr>
                <w:rFonts w:hint="eastAsia" w:ascii="Times New Roman" w:hAnsi="Times New Roman"/>
                <w:sz w:val="18"/>
                <w:szCs w:val="18"/>
              </w:rPr>
              <w:t>【0-4】</w:t>
            </w:r>
          </w:p>
        </w:tc>
      </w:tr>
      <w:tr w14:paraId="0F926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779" w:type="dxa"/>
            <w:vMerge w:val="continue"/>
            <w:tcBorders>
              <w:left w:val="single" w:color="auto" w:sz="4" w:space="0"/>
              <w:right w:val="single" w:color="auto" w:sz="4" w:space="0"/>
            </w:tcBorders>
          </w:tcPr>
          <w:p w14:paraId="009518EF">
            <w:pPr>
              <w:snapToGrid w:val="0"/>
              <w:spacing w:line="240" w:lineRule="auto"/>
              <w:jc w:val="center"/>
              <w:rPr>
                <w:rFonts w:ascii="Times New Roman" w:hAnsi="Times New Roman"/>
                <w:sz w:val="18"/>
                <w:szCs w:val="18"/>
              </w:rPr>
            </w:pPr>
          </w:p>
        </w:tc>
        <w:tc>
          <w:tcPr>
            <w:tcW w:w="668" w:type="dxa"/>
            <w:vMerge w:val="continue"/>
            <w:tcBorders>
              <w:left w:val="single" w:color="auto" w:sz="4" w:space="0"/>
              <w:right w:val="single" w:color="auto" w:sz="4" w:space="0"/>
            </w:tcBorders>
            <w:vAlign w:val="center"/>
          </w:tcPr>
          <w:p w14:paraId="72EA4583">
            <w:pPr>
              <w:snapToGrid w:val="0"/>
              <w:spacing w:line="240" w:lineRule="auto"/>
              <w:jc w:val="center"/>
              <w:rPr>
                <w:rFonts w:ascii="Times New Roman" w:hAnsi="Times New Roman"/>
                <w:sz w:val="18"/>
                <w:szCs w:val="18"/>
              </w:rPr>
            </w:pPr>
          </w:p>
        </w:tc>
        <w:tc>
          <w:tcPr>
            <w:tcW w:w="1559" w:type="dxa"/>
            <w:tcBorders>
              <w:top w:val="single" w:color="auto" w:sz="4" w:space="0"/>
              <w:left w:val="single" w:color="auto" w:sz="4" w:space="0"/>
              <w:bottom w:val="single" w:color="auto" w:sz="4" w:space="0"/>
              <w:right w:val="single" w:color="auto" w:sz="4" w:space="0"/>
            </w:tcBorders>
            <w:vAlign w:val="center"/>
          </w:tcPr>
          <w:p w14:paraId="2079B7BE">
            <w:pPr>
              <w:snapToGrid w:val="0"/>
              <w:spacing w:line="240" w:lineRule="auto"/>
              <w:jc w:val="center"/>
              <w:rPr>
                <w:rFonts w:ascii="Times New Roman" w:hAnsi="Times New Roman"/>
                <w:sz w:val="18"/>
                <w:szCs w:val="18"/>
              </w:rPr>
            </w:pPr>
            <w:r>
              <w:rPr>
                <w:rFonts w:ascii="Times New Roman" w:hAnsi="Times New Roman"/>
                <w:sz w:val="18"/>
                <w:szCs w:val="18"/>
              </w:rPr>
              <w:t>带动就业人数</w:t>
            </w:r>
          </w:p>
        </w:tc>
        <w:tc>
          <w:tcPr>
            <w:tcW w:w="2268" w:type="dxa"/>
            <w:tcBorders>
              <w:top w:val="single" w:color="auto" w:sz="4" w:space="0"/>
              <w:left w:val="single" w:color="auto" w:sz="4" w:space="0"/>
              <w:bottom w:val="single" w:color="auto" w:sz="4" w:space="0"/>
              <w:right w:val="single" w:color="auto" w:sz="4" w:space="0"/>
            </w:tcBorders>
          </w:tcPr>
          <w:p w14:paraId="788AAA58">
            <w:pPr>
              <w:pStyle w:val="6"/>
              <w:tabs>
                <w:tab w:val="center" w:pos="4201"/>
                <w:tab w:val="right" w:leader="dot" w:pos="9298"/>
              </w:tabs>
              <w:autoSpaceDE w:val="0"/>
              <w:autoSpaceDN w:val="0"/>
              <w:adjustRightInd w:val="0"/>
              <w:snapToGrid w:val="0"/>
              <w:spacing w:before="0" w:beforeAutospacing="0" w:after="0" w:afterAutospacing="0"/>
              <w:rPr>
                <w:rFonts w:ascii="Times New Roman" w:hAnsi="Times New Roman" w:cs="Times New Roman"/>
                <w:kern w:val="2"/>
                <w:sz w:val="18"/>
                <w:szCs w:val="18"/>
              </w:rPr>
            </w:pPr>
            <w:r>
              <w:rPr>
                <w:rFonts w:ascii="Times New Roman" w:hAnsi="Times New Roman" w:cs="Times New Roman"/>
                <w:kern w:val="2"/>
                <w:sz w:val="18"/>
                <w:szCs w:val="18"/>
              </w:rPr>
              <w:t>带动本地村民</w:t>
            </w:r>
            <w:r>
              <w:rPr>
                <w:rFonts w:hint="eastAsia" w:ascii="Times New Roman" w:hAnsi="Times New Roman" w:cs="Times New Roman"/>
                <w:kern w:val="2"/>
                <w:sz w:val="18"/>
                <w:szCs w:val="18"/>
              </w:rPr>
              <w:t>从事与</w:t>
            </w:r>
            <w:r>
              <w:rPr>
                <w:rFonts w:ascii="Times New Roman" w:hAnsi="Times New Roman" w:cs="Times New Roman"/>
                <w:kern w:val="2"/>
                <w:sz w:val="18"/>
                <w:szCs w:val="18"/>
              </w:rPr>
              <w:t>品牌相关的</w:t>
            </w:r>
            <w:r>
              <w:rPr>
                <w:rFonts w:hint="eastAsia" w:ascii="Times New Roman" w:hAnsi="Times New Roman" w:cs="Times New Roman"/>
                <w:kern w:val="2"/>
                <w:sz w:val="18"/>
                <w:szCs w:val="18"/>
              </w:rPr>
              <w:t>或品牌</w:t>
            </w:r>
            <w:r>
              <w:rPr>
                <w:rFonts w:ascii="Times New Roman" w:hAnsi="Times New Roman" w:cs="Times New Roman"/>
                <w:kern w:val="2"/>
                <w:sz w:val="18"/>
                <w:szCs w:val="18"/>
              </w:rPr>
              <w:t>产业链</w:t>
            </w:r>
            <w:r>
              <w:rPr>
                <w:rFonts w:hint="eastAsia" w:ascii="Times New Roman" w:hAnsi="Times New Roman" w:cs="Times New Roman"/>
                <w:kern w:val="2"/>
                <w:sz w:val="18"/>
                <w:szCs w:val="18"/>
              </w:rPr>
              <w:t>相关的</w:t>
            </w:r>
            <w:r>
              <w:rPr>
                <w:rFonts w:ascii="Times New Roman" w:hAnsi="Times New Roman" w:cs="Times New Roman"/>
                <w:kern w:val="2"/>
                <w:sz w:val="18"/>
                <w:szCs w:val="18"/>
              </w:rPr>
              <w:t>从业人口数、吸引外来务工人口数</w:t>
            </w:r>
            <w:r>
              <w:rPr>
                <w:rFonts w:hint="eastAsia" w:ascii="Times New Roman" w:hAnsi="Times New Roman" w:cs="Times New Roman"/>
                <w:kern w:val="2"/>
                <w:sz w:val="18"/>
                <w:szCs w:val="18"/>
              </w:rPr>
              <w:t>。</w:t>
            </w:r>
          </w:p>
        </w:tc>
        <w:tc>
          <w:tcPr>
            <w:tcW w:w="3118" w:type="dxa"/>
            <w:tcBorders>
              <w:top w:val="single" w:color="auto" w:sz="4" w:space="0"/>
              <w:left w:val="single" w:color="auto" w:sz="4" w:space="0"/>
              <w:bottom w:val="single" w:color="auto" w:sz="4" w:space="0"/>
              <w:right w:val="single" w:color="auto" w:sz="4" w:space="0"/>
            </w:tcBorders>
            <w:vAlign w:val="center"/>
          </w:tcPr>
          <w:p w14:paraId="7AB5E641">
            <w:pPr>
              <w:snapToGrid w:val="0"/>
              <w:spacing w:line="240" w:lineRule="auto"/>
              <w:jc w:val="left"/>
              <w:rPr>
                <w:rFonts w:ascii="Times New Roman" w:hAnsi="Times New Roman"/>
                <w:color w:val="000000" w:themeColor="text1"/>
                <w:sz w:val="18"/>
                <w:szCs w:val="18"/>
                <w14:textFill>
                  <w14:solidFill>
                    <w14:schemeClr w14:val="tx1"/>
                  </w14:solidFill>
                </w14:textFill>
              </w:rPr>
            </w:pPr>
            <w:r>
              <w:rPr>
                <w:rFonts w:ascii="Times New Roman" w:hAnsi="Times New Roman"/>
                <w:sz w:val="18"/>
                <w:szCs w:val="18"/>
              </w:rPr>
              <w:t>带动本村村民有3家以上从事品牌相关业态的，1分；带动本村村民从事品牌相关产业人口占半数以上</w:t>
            </w:r>
            <w:r>
              <w:rPr>
                <w:rFonts w:hint="eastAsia" w:ascii="Times New Roman" w:hAnsi="Times New Roman"/>
                <w:sz w:val="18"/>
                <w:szCs w:val="18"/>
              </w:rPr>
              <w:t>的</w:t>
            </w:r>
            <w:r>
              <w:rPr>
                <w:rFonts w:ascii="Times New Roman" w:hAnsi="Times New Roman"/>
                <w:sz w:val="18"/>
                <w:szCs w:val="18"/>
              </w:rPr>
              <w:t>，1分；吸引外来务工从事品牌相关人数10人以上的，1分。</w:t>
            </w:r>
          </w:p>
        </w:tc>
        <w:tc>
          <w:tcPr>
            <w:tcW w:w="851" w:type="dxa"/>
            <w:tcBorders>
              <w:top w:val="single" w:color="auto" w:sz="4" w:space="0"/>
              <w:left w:val="single" w:color="auto" w:sz="4" w:space="0"/>
              <w:bottom w:val="single" w:color="auto" w:sz="4" w:space="0"/>
              <w:right w:val="single" w:color="auto" w:sz="4" w:space="0"/>
            </w:tcBorders>
            <w:vAlign w:val="center"/>
          </w:tcPr>
          <w:p w14:paraId="2F4F4838">
            <w:pPr>
              <w:snapToGrid w:val="0"/>
              <w:spacing w:line="240" w:lineRule="auto"/>
              <w:jc w:val="center"/>
              <w:rPr>
                <w:rFonts w:ascii="Times New Roman" w:hAnsi="Times New Roman"/>
                <w:sz w:val="18"/>
                <w:szCs w:val="18"/>
              </w:rPr>
            </w:pPr>
            <w:r>
              <w:rPr>
                <w:rFonts w:hint="eastAsia" w:ascii="Times New Roman" w:hAnsi="Times New Roman"/>
                <w:sz w:val="18"/>
                <w:szCs w:val="18"/>
              </w:rPr>
              <w:t>【0-3】</w:t>
            </w:r>
          </w:p>
        </w:tc>
      </w:tr>
      <w:tr w14:paraId="4558B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779" w:type="dxa"/>
            <w:vMerge w:val="continue"/>
            <w:tcBorders>
              <w:left w:val="single" w:color="auto" w:sz="4" w:space="0"/>
              <w:right w:val="single" w:color="auto" w:sz="4" w:space="0"/>
            </w:tcBorders>
          </w:tcPr>
          <w:p w14:paraId="7A9EA784">
            <w:pPr>
              <w:snapToGrid w:val="0"/>
              <w:spacing w:line="240" w:lineRule="auto"/>
              <w:jc w:val="center"/>
              <w:rPr>
                <w:rFonts w:ascii="Times New Roman" w:hAnsi="Times New Roman"/>
                <w:sz w:val="18"/>
                <w:szCs w:val="18"/>
              </w:rPr>
            </w:pPr>
          </w:p>
        </w:tc>
        <w:tc>
          <w:tcPr>
            <w:tcW w:w="668" w:type="dxa"/>
            <w:vMerge w:val="restart"/>
            <w:tcBorders>
              <w:left w:val="single" w:color="auto" w:sz="4" w:space="0"/>
              <w:right w:val="single" w:color="auto" w:sz="4" w:space="0"/>
            </w:tcBorders>
            <w:vAlign w:val="center"/>
          </w:tcPr>
          <w:p w14:paraId="338D6BF7">
            <w:pPr>
              <w:snapToGrid w:val="0"/>
              <w:spacing w:line="240" w:lineRule="auto"/>
              <w:jc w:val="center"/>
              <w:rPr>
                <w:rFonts w:ascii="Times New Roman" w:hAnsi="Times New Roman"/>
                <w:sz w:val="18"/>
                <w:szCs w:val="18"/>
              </w:rPr>
            </w:pPr>
            <w:r>
              <w:rPr>
                <w:rFonts w:hint="eastAsia" w:ascii="Times New Roman" w:hAnsi="Times New Roman"/>
                <w:b/>
                <w:bCs/>
                <w:sz w:val="18"/>
                <w:szCs w:val="18"/>
              </w:rPr>
              <w:t>形象影响力</w:t>
            </w:r>
          </w:p>
        </w:tc>
        <w:tc>
          <w:tcPr>
            <w:tcW w:w="1559" w:type="dxa"/>
            <w:tcBorders>
              <w:top w:val="single" w:color="auto" w:sz="4" w:space="0"/>
              <w:left w:val="single" w:color="auto" w:sz="4" w:space="0"/>
              <w:bottom w:val="single" w:color="auto" w:sz="4" w:space="0"/>
              <w:right w:val="single" w:color="auto" w:sz="4" w:space="0"/>
            </w:tcBorders>
            <w:vAlign w:val="center"/>
          </w:tcPr>
          <w:p w14:paraId="5373A3B1">
            <w:pPr>
              <w:snapToGrid w:val="0"/>
              <w:spacing w:line="240" w:lineRule="auto"/>
              <w:jc w:val="center"/>
              <w:rPr>
                <w:rFonts w:ascii="Times New Roman" w:hAnsi="Times New Roman"/>
                <w:sz w:val="18"/>
                <w:szCs w:val="18"/>
              </w:rPr>
            </w:pPr>
            <w:r>
              <w:rPr>
                <w:rFonts w:ascii="Times New Roman" w:hAnsi="Times New Roman"/>
                <w:sz w:val="18"/>
                <w:szCs w:val="18"/>
              </w:rPr>
              <w:t>媒体影响力</w:t>
            </w:r>
          </w:p>
        </w:tc>
        <w:tc>
          <w:tcPr>
            <w:tcW w:w="2268" w:type="dxa"/>
            <w:tcBorders>
              <w:top w:val="single" w:color="auto" w:sz="4" w:space="0"/>
              <w:left w:val="single" w:color="auto" w:sz="4" w:space="0"/>
              <w:bottom w:val="single" w:color="auto" w:sz="4" w:space="0"/>
              <w:right w:val="single" w:color="auto" w:sz="4" w:space="0"/>
            </w:tcBorders>
          </w:tcPr>
          <w:p w14:paraId="165BA9A6">
            <w:pPr>
              <w:snapToGrid w:val="0"/>
              <w:spacing w:line="240" w:lineRule="auto"/>
              <w:jc w:val="left"/>
              <w:rPr>
                <w:rFonts w:ascii="Times New Roman" w:hAnsi="Times New Roman"/>
                <w:sz w:val="18"/>
                <w:szCs w:val="18"/>
              </w:rPr>
            </w:pPr>
            <w:r>
              <w:rPr>
                <w:rFonts w:ascii="Times New Roman" w:hAnsi="Times New Roman"/>
                <w:sz w:val="18"/>
                <w:szCs w:val="18"/>
              </w:rPr>
              <w:t>媒体报道的数量及正负面评价、点赞数</w:t>
            </w:r>
            <w:r>
              <w:rPr>
                <w:rFonts w:hint="eastAsia" w:ascii="Times New Roman" w:hAnsi="Times New Roman"/>
                <w:sz w:val="18"/>
                <w:szCs w:val="18"/>
              </w:rPr>
              <w:t>。</w:t>
            </w:r>
          </w:p>
        </w:tc>
        <w:tc>
          <w:tcPr>
            <w:tcW w:w="3118" w:type="dxa"/>
            <w:tcBorders>
              <w:top w:val="single" w:color="auto" w:sz="4" w:space="0"/>
              <w:left w:val="single" w:color="auto" w:sz="4" w:space="0"/>
              <w:bottom w:val="single" w:color="auto" w:sz="4" w:space="0"/>
              <w:right w:val="single" w:color="auto" w:sz="4" w:space="0"/>
            </w:tcBorders>
            <w:vAlign w:val="center"/>
          </w:tcPr>
          <w:p w14:paraId="558811CE">
            <w:pPr>
              <w:snapToGrid w:val="0"/>
              <w:spacing w:line="240" w:lineRule="auto"/>
              <w:jc w:val="left"/>
              <w:rPr>
                <w:rFonts w:ascii="Times New Roman" w:hAnsi="Times New Roman"/>
                <w:color w:val="000000" w:themeColor="text1"/>
                <w:sz w:val="18"/>
                <w:szCs w:val="18"/>
                <w14:textFill>
                  <w14:solidFill>
                    <w14:schemeClr w14:val="tx1"/>
                  </w14:solidFill>
                </w14:textFill>
              </w:rPr>
            </w:pPr>
            <w:r>
              <w:rPr>
                <w:rFonts w:ascii="Times New Roman" w:hAnsi="Times New Roman"/>
                <w:sz w:val="18"/>
                <w:szCs w:val="18"/>
              </w:rPr>
              <w:t>媒体报道</w:t>
            </w:r>
            <w:r>
              <w:rPr>
                <w:rFonts w:hint="eastAsia" w:ascii="Times New Roman" w:hAnsi="Times New Roman"/>
                <w:sz w:val="18"/>
                <w:szCs w:val="18"/>
              </w:rPr>
              <w:t>累计</w:t>
            </w:r>
            <w:r>
              <w:rPr>
                <w:rFonts w:ascii="Times New Roman" w:hAnsi="Times New Roman"/>
                <w:sz w:val="18"/>
                <w:szCs w:val="18"/>
              </w:rPr>
              <w:t>总量超过10条，1分；</w:t>
            </w:r>
            <w:r>
              <w:rPr>
                <w:rFonts w:hint="eastAsia" w:ascii="Times New Roman" w:hAnsi="Times New Roman"/>
                <w:sz w:val="18"/>
                <w:szCs w:val="18"/>
              </w:rPr>
              <w:t>报道总量中</w:t>
            </w:r>
            <w:r>
              <w:rPr>
                <w:rFonts w:ascii="Times New Roman" w:hAnsi="Times New Roman"/>
                <w:sz w:val="18"/>
                <w:szCs w:val="18"/>
              </w:rPr>
              <w:t>正面评价超过80%的，1分；</w:t>
            </w:r>
            <w:r>
              <w:rPr>
                <w:rFonts w:hint="eastAsia" w:ascii="Times New Roman" w:hAnsi="Times New Roman"/>
                <w:sz w:val="18"/>
                <w:szCs w:val="18"/>
              </w:rPr>
              <w:t>受众</w:t>
            </w:r>
            <w:r>
              <w:rPr>
                <w:rFonts w:ascii="Times New Roman" w:hAnsi="Times New Roman"/>
                <w:sz w:val="18"/>
                <w:szCs w:val="18"/>
              </w:rPr>
              <w:t>点赞数</w:t>
            </w:r>
            <w:r>
              <w:rPr>
                <w:rFonts w:hint="eastAsia" w:ascii="Times New Roman" w:hAnsi="Times New Roman"/>
                <w:sz w:val="18"/>
                <w:szCs w:val="18"/>
              </w:rPr>
              <w:t>十个以上</w:t>
            </w:r>
            <w:r>
              <w:rPr>
                <w:rFonts w:ascii="Times New Roman" w:hAnsi="Times New Roman"/>
                <w:sz w:val="18"/>
                <w:szCs w:val="18"/>
              </w:rPr>
              <w:t>的，1分；</w:t>
            </w:r>
            <w:r>
              <w:rPr>
                <w:rFonts w:hint="eastAsia" w:ascii="Times New Roman" w:hAnsi="Times New Roman"/>
                <w:sz w:val="18"/>
                <w:szCs w:val="18"/>
              </w:rPr>
              <w:t>媒体报道中出现负面评价的，酌情减分，1-2分。</w:t>
            </w:r>
          </w:p>
        </w:tc>
        <w:tc>
          <w:tcPr>
            <w:tcW w:w="851" w:type="dxa"/>
            <w:tcBorders>
              <w:top w:val="single" w:color="auto" w:sz="4" w:space="0"/>
              <w:left w:val="single" w:color="auto" w:sz="4" w:space="0"/>
              <w:bottom w:val="single" w:color="auto" w:sz="4" w:space="0"/>
              <w:right w:val="single" w:color="auto" w:sz="4" w:space="0"/>
            </w:tcBorders>
            <w:vAlign w:val="center"/>
          </w:tcPr>
          <w:p w14:paraId="601FF722">
            <w:pPr>
              <w:snapToGrid w:val="0"/>
              <w:spacing w:line="240" w:lineRule="auto"/>
              <w:jc w:val="center"/>
              <w:rPr>
                <w:rFonts w:ascii="Times New Roman" w:hAnsi="Times New Roman"/>
                <w:sz w:val="18"/>
                <w:szCs w:val="18"/>
              </w:rPr>
            </w:pPr>
            <w:r>
              <w:rPr>
                <w:rFonts w:hint="eastAsia" w:ascii="Times New Roman" w:hAnsi="Times New Roman"/>
                <w:sz w:val="18"/>
                <w:szCs w:val="18"/>
              </w:rPr>
              <w:t>【0-3】</w:t>
            </w:r>
          </w:p>
        </w:tc>
      </w:tr>
      <w:tr w14:paraId="64CAB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779" w:type="dxa"/>
            <w:vMerge w:val="continue"/>
            <w:tcBorders>
              <w:left w:val="single" w:color="auto" w:sz="4" w:space="0"/>
              <w:right w:val="single" w:color="auto" w:sz="4" w:space="0"/>
            </w:tcBorders>
          </w:tcPr>
          <w:p w14:paraId="30F96FA1">
            <w:pPr>
              <w:snapToGrid w:val="0"/>
              <w:spacing w:line="240" w:lineRule="auto"/>
              <w:jc w:val="center"/>
              <w:rPr>
                <w:rFonts w:ascii="Times New Roman" w:hAnsi="Times New Roman"/>
                <w:sz w:val="18"/>
                <w:szCs w:val="18"/>
              </w:rPr>
            </w:pPr>
          </w:p>
        </w:tc>
        <w:tc>
          <w:tcPr>
            <w:tcW w:w="668" w:type="dxa"/>
            <w:vMerge w:val="continue"/>
            <w:tcBorders>
              <w:left w:val="single" w:color="auto" w:sz="4" w:space="0"/>
              <w:right w:val="single" w:color="auto" w:sz="4" w:space="0"/>
            </w:tcBorders>
            <w:vAlign w:val="center"/>
          </w:tcPr>
          <w:p w14:paraId="6C3C49A7">
            <w:pPr>
              <w:snapToGrid w:val="0"/>
              <w:spacing w:line="240" w:lineRule="auto"/>
              <w:jc w:val="center"/>
              <w:rPr>
                <w:rFonts w:ascii="Times New Roman" w:hAnsi="Times New Roman"/>
                <w:sz w:val="18"/>
                <w:szCs w:val="18"/>
              </w:rPr>
            </w:pPr>
          </w:p>
        </w:tc>
        <w:tc>
          <w:tcPr>
            <w:tcW w:w="1559" w:type="dxa"/>
            <w:tcBorders>
              <w:top w:val="single" w:color="auto" w:sz="4" w:space="0"/>
              <w:left w:val="single" w:color="auto" w:sz="4" w:space="0"/>
              <w:bottom w:val="single" w:color="auto" w:sz="4" w:space="0"/>
              <w:right w:val="single" w:color="auto" w:sz="4" w:space="0"/>
            </w:tcBorders>
            <w:vAlign w:val="center"/>
          </w:tcPr>
          <w:p w14:paraId="5FE28786">
            <w:pPr>
              <w:snapToGrid w:val="0"/>
              <w:spacing w:line="240" w:lineRule="auto"/>
              <w:jc w:val="center"/>
              <w:rPr>
                <w:rFonts w:ascii="Times New Roman" w:hAnsi="Times New Roman"/>
                <w:sz w:val="18"/>
                <w:szCs w:val="18"/>
              </w:rPr>
            </w:pPr>
            <w:r>
              <w:rPr>
                <w:rFonts w:hint="eastAsia" w:ascii="Times New Roman" w:hAnsi="Times New Roman"/>
                <w:sz w:val="18"/>
                <w:szCs w:val="18"/>
              </w:rPr>
              <w:t>旅客</w:t>
            </w:r>
            <w:r>
              <w:rPr>
                <w:rFonts w:ascii="Times New Roman" w:hAnsi="Times New Roman"/>
                <w:sz w:val="18"/>
                <w:szCs w:val="18"/>
              </w:rPr>
              <w:t>影响力</w:t>
            </w:r>
          </w:p>
        </w:tc>
        <w:tc>
          <w:tcPr>
            <w:tcW w:w="2268" w:type="dxa"/>
            <w:tcBorders>
              <w:top w:val="single" w:color="auto" w:sz="4" w:space="0"/>
              <w:left w:val="single" w:color="auto" w:sz="4" w:space="0"/>
              <w:bottom w:val="single" w:color="auto" w:sz="4" w:space="0"/>
              <w:right w:val="single" w:color="auto" w:sz="4" w:space="0"/>
            </w:tcBorders>
          </w:tcPr>
          <w:p w14:paraId="10760343">
            <w:pPr>
              <w:snapToGrid w:val="0"/>
              <w:spacing w:line="240" w:lineRule="auto"/>
              <w:jc w:val="left"/>
              <w:rPr>
                <w:rFonts w:ascii="Times New Roman" w:hAnsi="Times New Roman"/>
                <w:sz w:val="18"/>
                <w:szCs w:val="18"/>
              </w:rPr>
            </w:pPr>
            <w:r>
              <w:rPr>
                <w:rFonts w:ascii="Times New Roman" w:hAnsi="Times New Roman"/>
                <w:sz w:val="18"/>
                <w:szCs w:val="18"/>
              </w:rPr>
              <w:t>近三年</w:t>
            </w:r>
            <w:r>
              <w:rPr>
                <w:rFonts w:hint="eastAsia" w:ascii="Times New Roman" w:hAnsi="Times New Roman"/>
                <w:sz w:val="18"/>
                <w:szCs w:val="18"/>
              </w:rPr>
              <w:t>旅客</w:t>
            </w:r>
            <w:r>
              <w:rPr>
                <w:rFonts w:ascii="Times New Roman" w:hAnsi="Times New Roman"/>
                <w:sz w:val="18"/>
                <w:szCs w:val="18"/>
              </w:rPr>
              <w:t>增长率、增长绝对值</w:t>
            </w:r>
            <w:r>
              <w:rPr>
                <w:rFonts w:hint="eastAsia" w:ascii="Times New Roman" w:hAnsi="Times New Roman"/>
                <w:sz w:val="18"/>
                <w:szCs w:val="18"/>
              </w:rPr>
              <w:t>。</w:t>
            </w:r>
          </w:p>
        </w:tc>
        <w:tc>
          <w:tcPr>
            <w:tcW w:w="3118" w:type="dxa"/>
            <w:tcBorders>
              <w:top w:val="single" w:color="auto" w:sz="4" w:space="0"/>
              <w:left w:val="single" w:color="auto" w:sz="4" w:space="0"/>
              <w:bottom w:val="single" w:color="auto" w:sz="4" w:space="0"/>
              <w:right w:val="single" w:color="auto" w:sz="4" w:space="0"/>
            </w:tcBorders>
            <w:vAlign w:val="center"/>
          </w:tcPr>
          <w:p w14:paraId="1A67E42E">
            <w:pPr>
              <w:snapToGrid w:val="0"/>
              <w:spacing w:line="240" w:lineRule="auto"/>
              <w:jc w:val="left"/>
              <w:rPr>
                <w:rFonts w:ascii="Times New Roman" w:hAnsi="Times New Roman"/>
                <w:color w:val="000000" w:themeColor="text1"/>
                <w:sz w:val="18"/>
                <w:szCs w:val="18"/>
                <w14:textFill>
                  <w14:solidFill>
                    <w14:schemeClr w14:val="tx1"/>
                  </w14:solidFill>
                </w14:textFill>
              </w:rPr>
            </w:pPr>
            <w:r>
              <w:rPr>
                <w:rFonts w:ascii="Times New Roman" w:hAnsi="Times New Roman"/>
                <w:sz w:val="18"/>
                <w:szCs w:val="18"/>
              </w:rPr>
              <w:t>增长率超过15%的，4分；超过10%的，3分；超过5%的，2分；超过1%，1分；下降的，0分</w:t>
            </w:r>
            <w:r>
              <w:rPr>
                <w:rFonts w:hint="eastAsia" w:ascii="Times New Roman" w:hAnsi="Times New Roman"/>
                <w:sz w:val="18"/>
                <w:szCs w:val="18"/>
              </w:rPr>
              <w:t>。</w:t>
            </w:r>
          </w:p>
        </w:tc>
        <w:tc>
          <w:tcPr>
            <w:tcW w:w="851" w:type="dxa"/>
            <w:tcBorders>
              <w:top w:val="single" w:color="auto" w:sz="4" w:space="0"/>
              <w:left w:val="single" w:color="auto" w:sz="4" w:space="0"/>
              <w:bottom w:val="single" w:color="auto" w:sz="4" w:space="0"/>
              <w:right w:val="single" w:color="auto" w:sz="4" w:space="0"/>
            </w:tcBorders>
            <w:vAlign w:val="center"/>
          </w:tcPr>
          <w:p w14:paraId="1EA96D17">
            <w:pPr>
              <w:snapToGrid w:val="0"/>
              <w:spacing w:line="240" w:lineRule="auto"/>
              <w:jc w:val="center"/>
              <w:rPr>
                <w:rFonts w:ascii="Times New Roman" w:hAnsi="Times New Roman"/>
                <w:sz w:val="18"/>
                <w:szCs w:val="18"/>
              </w:rPr>
            </w:pPr>
            <w:r>
              <w:rPr>
                <w:rFonts w:hint="eastAsia" w:ascii="Times New Roman" w:hAnsi="Times New Roman"/>
                <w:sz w:val="18"/>
                <w:szCs w:val="18"/>
              </w:rPr>
              <w:t>【0-4】</w:t>
            </w:r>
          </w:p>
        </w:tc>
      </w:tr>
      <w:tr w14:paraId="0268C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779" w:type="dxa"/>
            <w:vMerge w:val="continue"/>
            <w:tcBorders>
              <w:left w:val="single" w:color="auto" w:sz="4" w:space="0"/>
              <w:right w:val="single" w:color="auto" w:sz="4" w:space="0"/>
            </w:tcBorders>
          </w:tcPr>
          <w:p w14:paraId="54237BA7">
            <w:pPr>
              <w:snapToGrid w:val="0"/>
              <w:spacing w:line="240" w:lineRule="auto"/>
              <w:jc w:val="center"/>
              <w:rPr>
                <w:rFonts w:ascii="Times New Roman" w:hAnsi="Times New Roman"/>
                <w:sz w:val="18"/>
                <w:szCs w:val="18"/>
              </w:rPr>
            </w:pPr>
          </w:p>
        </w:tc>
        <w:tc>
          <w:tcPr>
            <w:tcW w:w="668" w:type="dxa"/>
            <w:vMerge w:val="continue"/>
            <w:tcBorders>
              <w:left w:val="single" w:color="auto" w:sz="4" w:space="0"/>
              <w:right w:val="single" w:color="auto" w:sz="4" w:space="0"/>
            </w:tcBorders>
            <w:vAlign w:val="center"/>
          </w:tcPr>
          <w:p w14:paraId="704B8863">
            <w:pPr>
              <w:snapToGrid w:val="0"/>
              <w:spacing w:line="240" w:lineRule="auto"/>
              <w:jc w:val="center"/>
              <w:rPr>
                <w:rFonts w:ascii="Times New Roman" w:hAnsi="Times New Roman"/>
                <w:sz w:val="18"/>
                <w:szCs w:val="18"/>
              </w:rPr>
            </w:pPr>
          </w:p>
        </w:tc>
        <w:tc>
          <w:tcPr>
            <w:tcW w:w="1559" w:type="dxa"/>
            <w:tcBorders>
              <w:top w:val="single" w:color="auto" w:sz="4" w:space="0"/>
              <w:left w:val="single" w:color="auto" w:sz="4" w:space="0"/>
              <w:bottom w:val="single" w:color="auto" w:sz="4" w:space="0"/>
              <w:right w:val="single" w:color="auto" w:sz="4" w:space="0"/>
            </w:tcBorders>
            <w:vAlign w:val="center"/>
          </w:tcPr>
          <w:p w14:paraId="1CBC2C30">
            <w:pPr>
              <w:snapToGrid w:val="0"/>
              <w:spacing w:line="240" w:lineRule="auto"/>
              <w:jc w:val="center"/>
              <w:rPr>
                <w:rFonts w:ascii="Times New Roman" w:hAnsi="Times New Roman"/>
                <w:sz w:val="18"/>
                <w:szCs w:val="18"/>
              </w:rPr>
            </w:pPr>
            <w:r>
              <w:rPr>
                <w:rFonts w:ascii="Times New Roman" w:hAnsi="Times New Roman"/>
                <w:sz w:val="18"/>
                <w:szCs w:val="18"/>
              </w:rPr>
              <w:t>政府影响力</w:t>
            </w:r>
          </w:p>
        </w:tc>
        <w:tc>
          <w:tcPr>
            <w:tcW w:w="2268" w:type="dxa"/>
            <w:tcBorders>
              <w:top w:val="single" w:color="auto" w:sz="4" w:space="0"/>
              <w:left w:val="single" w:color="auto" w:sz="4" w:space="0"/>
              <w:bottom w:val="single" w:color="auto" w:sz="4" w:space="0"/>
              <w:right w:val="single" w:color="auto" w:sz="4" w:space="0"/>
            </w:tcBorders>
          </w:tcPr>
          <w:p w14:paraId="79F7E867">
            <w:pPr>
              <w:snapToGrid w:val="0"/>
              <w:spacing w:line="240" w:lineRule="auto"/>
              <w:jc w:val="left"/>
              <w:rPr>
                <w:rFonts w:ascii="Times New Roman" w:hAnsi="Times New Roman"/>
                <w:sz w:val="18"/>
                <w:szCs w:val="18"/>
              </w:rPr>
            </w:pPr>
            <w:r>
              <w:rPr>
                <w:rFonts w:ascii="Times New Roman" w:hAnsi="Times New Roman"/>
                <w:sz w:val="18"/>
                <w:szCs w:val="18"/>
              </w:rPr>
              <w:t>领导批示、财政</w:t>
            </w:r>
            <w:r>
              <w:rPr>
                <w:rFonts w:hint="eastAsia" w:ascii="Times New Roman" w:hAnsi="Times New Roman"/>
                <w:sz w:val="18"/>
                <w:szCs w:val="18"/>
              </w:rPr>
              <w:t>项目</w:t>
            </w:r>
            <w:r>
              <w:rPr>
                <w:rFonts w:ascii="Times New Roman" w:hAnsi="Times New Roman"/>
                <w:sz w:val="18"/>
                <w:szCs w:val="18"/>
              </w:rPr>
              <w:t>或其</w:t>
            </w:r>
            <w:r>
              <w:rPr>
                <w:rFonts w:hint="eastAsia" w:ascii="Times New Roman" w:hAnsi="Times New Roman"/>
                <w:sz w:val="18"/>
                <w:szCs w:val="18"/>
              </w:rPr>
              <w:t>它</w:t>
            </w:r>
            <w:r>
              <w:rPr>
                <w:rFonts w:ascii="Times New Roman" w:hAnsi="Times New Roman"/>
                <w:sz w:val="18"/>
                <w:szCs w:val="18"/>
              </w:rPr>
              <w:t>政策支持</w:t>
            </w:r>
            <w:r>
              <w:rPr>
                <w:rFonts w:hint="eastAsia" w:ascii="Times New Roman" w:hAnsi="Times New Roman"/>
                <w:sz w:val="18"/>
                <w:szCs w:val="18"/>
              </w:rPr>
              <w:t>。</w:t>
            </w:r>
          </w:p>
        </w:tc>
        <w:tc>
          <w:tcPr>
            <w:tcW w:w="3118" w:type="dxa"/>
            <w:tcBorders>
              <w:top w:val="single" w:color="auto" w:sz="4" w:space="0"/>
              <w:left w:val="single" w:color="auto" w:sz="4" w:space="0"/>
              <w:bottom w:val="single" w:color="auto" w:sz="4" w:space="0"/>
              <w:right w:val="single" w:color="auto" w:sz="4" w:space="0"/>
            </w:tcBorders>
            <w:vAlign w:val="center"/>
          </w:tcPr>
          <w:p w14:paraId="369BB5BF">
            <w:pPr>
              <w:snapToGrid w:val="0"/>
              <w:spacing w:line="240" w:lineRule="auto"/>
              <w:jc w:val="left"/>
              <w:rPr>
                <w:rFonts w:ascii="Times New Roman" w:hAnsi="Times New Roman"/>
                <w:color w:val="000000" w:themeColor="text1"/>
                <w:sz w:val="18"/>
                <w:szCs w:val="18"/>
                <w14:textFill>
                  <w14:solidFill>
                    <w14:schemeClr w14:val="tx1"/>
                  </w14:solidFill>
                </w14:textFill>
              </w:rPr>
            </w:pPr>
            <w:r>
              <w:rPr>
                <w:rFonts w:hint="eastAsia" w:ascii="Times New Roman" w:hAnsi="Times New Roman"/>
                <w:sz w:val="18"/>
                <w:szCs w:val="18"/>
              </w:rPr>
              <w:t>领导批示，1分；财政项目，1分；其他政策支持，1分</w:t>
            </w:r>
            <w:r>
              <w:rPr>
                <w:rFonts w:ascii="Times New Roman" w:hAnsi="Times New Roman"/>
                <w:sz w:val="18"/>
                <w:szCs w:val="18"/>
              </w:rPr>
              <w:t>；</w:t>
            </w:r>
            <w:r>
              <w:rPr>
                <w:rFonts w:hint="eastAsia" w:ascii="Times New Roman" w:hAnsi="Times New Roman"/>
                <w:sz w:val="18"/>
                <w:szCs w:val="18"/>
              </w:rPr>
              <w:t>三项均无，0分。</w:t>
            </w:r>
          </w:p>
        </w:tc>
        <w:tc>
          <w:tcPr>
            <w:tcW w:w="851" w:type="dxa"/>
            <w:tcBorders>
              <w:top w:val="single" w:color="auto" w:sz="4" w:space="0"/>
              <w:left w:val="single" w:color="auto" w:sz="4" w:space="0"/>
              <w:bottom w:val="single" w:color="auto" w:sz="4" w:space="0"/>
              <w:right w:val="single" w:color="auto" w:sz="4" w:space="0"/>
            </w:tcBorders>
            <w:vAlign w:val="center"/>
          </w:tcPr>
          <w:p w14:paraId="0E9843AC">
            <w:pPr>
              <w:snapToGrid w:val="0"/>
              <w:spacing w:line="240" w:lineRule="auto"/>
              <w:jc w:val="center"/>
              <w:rPr>
                <w:rFonts w:ascii="Times New Roman" w:hAnsi="Times New Roman"/>
                <w:sz w:val="18"/>
                <w:szCs w:val="18"/>
              </w:rPr>
            </w:pPr>
            <w:r>
              <w:rPr>
                <w:rFonts w:hint="eastAsia" w:ascii="Times New Roman" w:hAnsi="Times New Roman"/>
                <w:sz w:val="18"/>
                <w:szCs w:val="18"/>
              </w:rPr>
              <w:t>【0-3】</w:t>
            </w:r>
          </w:p>
        </w:tc>
      </w:tr>
      <w:tr w14:paraId="62DF7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779" w:type="dxa"/>
            <w:vMerge w:val="continue"/>
            <w:tcBorders>
              <w:left w:val="single" w:color="auto" w:sz="4" w:space="0"/>
              <w:right w:val="single" w:color="auto" w:sz="4" w:space="0"/>
            </w:tcBorders>
          </w:tcPr>
          <w:p w14:paraId="66CBFD51">
            <w:pPr>
              <w:snapToGrid w:val="0"/>
              <w:spacing w:line="240" w:lineRule="auto"/>
              <w:jc w:val="center"/>
              <w:rPr>
                <w:rFonts w:ascii="Times New Roman" w:hAnsi="Times New Roman"/>
                <w:sz w:val="18"/>
                <w:szCs w:val="18"/>
              </w:rPr>
            </w:pPr>
          </w:p>
        </w:tc>
        <w:tc>
          <w:tcPr>
            <w:tcW w:w="668" w:type="dxa"/>
            <w:vMerge w:val="restart"/>
            <w:tcBorders>
              <w:left w:val="single" w:color="auto" w:sz="4" w:space="0"/>
              <w:right w:val="single" w:color="auto" w:sz="4" w:space="0"/>
            </w:tcBorders>
            <w:vAlign w:val="center"/>
          </w:tcPr>
          <w:p w14:paraId="3AC1F626">
            <w:pPr>
              <w:snapToGrid w:val="0"/>
              <w:spacing w:line="240" w:lineRule="auto"/>
              <w:jc w:val="center"/>
              <w:rPr>
                <w:rFonts w:ascii="Times New Roman" w:hAnsi="Times New Roman"/>
                <w:sz w:val="18"/>
                <w:szCs w:val="18"/>
              </w:rPr>
            </w:pPr>
            <w:r>
              <w:rPr>
                <w:rFonts w:hint="eastAsia" w:ascii="Times New Roman" w:hAnsi="Times New Roman"/>
                <w:b/>
                <w:bCs/>
                <w:sz w:val="18"/>
                <w:szCs w:val="18"/>
              </w:rPr>
              <w:t>经济推动力</w:t>
            </w:r>
          </w:p>
        </w:tc>
        <w:tc>
          <w:tcPr>
            <w:tcW w:w="1559" w:type="dxa"/>
            <w:tcBorders>
              <w:top w:val="single" w:color="auto" w:sz="4" w:space="0"/>
              <w:left w:val="single" w:color="auto" w:sz="4" w:space="0"/>
              <w:bottom w:val="single" w:color="auto" w:sz="4" w:space="0"/>
              <w:right w:val="single" w:color="auto" w:sz="4" w:space="0"/>
            </w:tcBorders>
            <w:vAlign w:val="center"/>
          </w:tcPr>
          <w:p w14:paraId="3E0CF4F5">
            <w:pPr>
              <w:snapToGrid w:val="0"/>
              <w:spacing w:line="240" w:lineRule="auto"/>
              <w:jc w:val="center"/>
              <w:rPr>
                <w:rFonts w:ascii="Times New Roman" w:hAnsi="Times New Roman"/>
                <w:sz w:val="18"/>
                <w:szCs w:val="18"/>
              </w:rPr>
            </w:pPr>
            <w:r>
              <w:rPr>
                <w:rFonts w:hint="eastAsia" w:ascii="Times New Roman" w:hAnsi="Times New Roman"/>
                <w:sz w:val="18"/>
                <w:szCs w:val="18"/>
              </w:rPr>
              <w:t>集体</w:t>
            </w:r>
            <w:r>
              <w:rPr>
                <w:rFonts w:ascii="Times New Roman" w:hAnsi="Times New Roman"/>
                <w:sz w:val="18"/>
                <w:szCs w:val="18"/>
              </w:rPr>
              <w:t>经济效益</w:t>
            </w:r>
          </w:p>
        </w:tc>
        <w:tc>
          <w:tcPr>
            <w:tcW w:w="2268" w:type="dxa"/>
            <w:tcBorders>
              <w:top w:val="single" w:color="auto" w:sz="4" w:space="0"/>
              <w:left w:val="single" w:color="auto" w:sz="4" w:space="0"/>
              <w:bottom w:val="single" w:color="auto" w:sz="4" w:space="0"/>
              <w:right w:val="single" w:color="auto" w:sz="4" w:space="0"/>
            </w:tcBorders>
            <w:vAlign w:val="center"/>
          </w:tcPr>
          <w:p w14:paraId="121E3D17">
            <w:pPr>
              <w:snapToGrid w:val="0"/>
              <w:spacing w:line="240" w:lineRule="auto"/>
              <w:jc w:val="left"/>
              <w:rPr>
                <w:rFonts w:ascii="Times New Roman" w:hAnsi="Times New Roman"/>
                <w:sz w:val="18"/>
                <w:szCs w:val="18"/>
              </w:rPr>
            </w:pPr>
            <w:r>
              <w:rPr>
                <w:rFonts w:ascii="Times New Roman" w:hAnsi="Times New Roman"/>
                <w:sz w:val="18"/>
                <w:szCs w:val="18"/>
              </w:rPr>
              <w:t>近三年村集体收入增长率、增长（绝对）值</w:t>
            </w:r>
          </w:p>
        </w:tc>
        <w:tc>
          <w:tcPr>
            <w:tcW w:w="3118" w:type="dxa"/>
            <w:tcBorders>
              <w:top w:val="single" w:color="auto" w:sz="4" w:space="0"/>
              <w:left w:val="single" w:color="auto" w:sz="4" w:space="0"/>
              <w:bottom w:val="single" w:color="auto" w:sz="4" w:space="0"/>
              <w:right w:val="single" w:color="auto" w:sz="4" w:space="0"/>
            </w:tcBorders>
            <w:vAlign w:val="center"/>
          </w:tcPr>
          <w:p w14:paraId="216C9974">
            <w:pPr>
              <w:snapToGrid w:val="0"/>
              <w:spacing w:line="240" w:lineRule="auto"/>
              <w:jc w:val="left"/>
              <w:rPr>
                <w:rFonts w:ascii="Times New Roman" w:hAnsi="Times New Roman"/>
                <w:sz w:val="18"/>
                <w:szCs w:val="18"/>
              </w:rPr>
            </w:pPr>
            <w:r>
              <w:rPr>
                <w:rFonts w:ascii="Times New Roman" w:hAnsi="Times New Roman"/>
                <w:color w:val="000000" w:themeColor="text1"/>
                <w:sz w:val="18"/>
                <w:szCs w:val="18"/>
                <w14:textFill>
                  <w14:solidFill>
                    <w14:schemeClr w14:val="tx1"/>
                  </w14:solidFill>
                </w14:textFill>
              </w:rPr>
              <w:t>村集体收入增长率超过10%，3分；</w:t>
            </w:r>
            <w:r>
              <w:rPr>
                <w:rFonts w:ascii="Times New Roman" w:hAnsi="Times New Roman"/>
                <w:sz w:val="18"/>
                <w:szCs w:val="18"/>
              </w:rPr>
              <w:t>增长但未超过10%的，2分；无增长</w:t>
            </w:r>
            <w:r>
              <w:rPr>
                <w:rFonts w:hint="eastAsia" w:ascii="Times New Roman" w:hAnsi="Times New Roman"/>
                <w:sz w:val="18"/>
                <w:szCs w:val="18"/>
              </w:rPr>
              <w:t>、</w:t>
            </w:r>
            <w:r>
              <w:rPr>
                <w:rFonts w:ascii="Times New Roman" w:hAnsi="Times New Roman"/>
                <w:sz w:val="18"/>
                <w:szCs w:val="18"/>
              </w:rPr>
              <w:t>负增长0分。</w:t>
            </w:r>
          </w:p>
          <w:p w14:paraId="2D1A45EB">
            <w:pPr>
              <w:snapToGrid w:val="0"/>
              <w:spacing w:line="240" w:lineRule="auto"/>
              <w:jc w:val="left"/>
              <w:rPr>
                <w:rFonts w:ascii="Times New Roman" w:hAnsi="Times New Roman"/>
                <w:color w:val="000000" w:themeColor="text1"/>
                <w:sz w:val="18"/>
                <w:szCs w:val="18"/>
                <w14:textFill>
                  <w14:solidFill>
                    <w14:schemeClr w14:val="tx1"/>
                  </w14:solidFill>
                </w14:textFill>
              </w:rPr>
            </w:pPr>
            <w:r>
              <w:rPr>
                <w:rFonts w:hint="eastAsia" w:ascii="Times New Roman" w:hAnsi="Times New Roman"/>
                <w:sz w:val="18"/>
                <w:szCs w:val="18"/>
              </w:rPr>
              <w:t>村集体收入（绝对）值分别按正数排序，前20%，2分；中间40%，1分；后40%，0.5分；无增长、负增长0分。</w:t>
            </w:r>
          </w:p>
        </w:tc>
        <w:tc>
          <w:tcPr>
            <w:tcW w:w="851" w:type="dxa"/>
            <w:tcBorders>
              <w:top w:val="single" w:color="auto" w:sz="4" w:space="0"/>
              <w:left w:val="single" w:color="auto" w:sz="4" w:space="0"/>
              <w:bottom w:val="single" w:color="auto" w:sz="4" w:space="0"/>
              <w:right w:val="single" w:color="auto" w:sz="4" w:space="0"/>
            </w:tcBorders>
            <w:vAlign w:val="center"/>
          </w:tcPr>
          <w:p w14:paraId="63F90270">
            <w:pPr>
              <w:snapToGrid w:val="0"/>
              <w:spacing w:line="240" w:lineRule="auto"/>
              <w:jc w:val="center"/>
              <w:rPr>
                <w:rFonts w:ascii="Times New Roman" w:hAnsi="Times New Roman"/>
                <w:sz w:val="18"/>
                <w:szCs w:val="18"/>
              </w:rPr>
            </w:pPr>
            <w:r>
              <w:rPr>
                <w:rFonts w:hint="eastAsia" w:ascii="Times New Roman" w:hAnsi="Times New Roman"/>
                <w:sz w:val="18"/>
                <w:szCs w:val="18"/>
              </w:rPr>
              <w:t>【0-5】</w:t>
            </w:r>
          </w:p>
        </w:tc>
      </w:tr>
      <w:tr w14:paraId="632E4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779" w:type="dxa"/>
            <w:vMerge w:val="continue"/>
            <w:tcBorders>
              <w:left w:val="single" w:color="auto" w:sz="4" w:space="0"/>
              <w:right w:val="single" w:color="auto" w:sz="4" w:space="0"/>
            </w:tcBorders>
          </w:tcPr>
          <w:p w14:paraId="1D3F4E4A">
            <w:pPr>
              <w:snapToGrid w:val="0"/>
              <w:spacing w:line="240" w:lineRule="auto"/>
              <w:jc w:val="center"/>
              <w:rPr>
                <w:rFonts w:ascii="Times New Roman" w:hAnsi="Times New Roman"/>
                <w:sz w:val="18"/>
                <w:szCs w:val="18"/>
              </w:rPr>
            </w:pPr>
          </w:p>
        </w:tc>
        <w:tc>
          <w:tcPr>
            <w:tcW w:w="668" w:type="dxa"/>
            <w:vMerge w:val="continue"/>
            <w:tcBorders>
              <w:left w:val="single" w:color="auto" w:sz="4" w:space="0"/>
              <w:right w:val="single" w:color="auto" w:sz="4" w:space="0"/>
            </w:tcBorders>
            <w:vAlign w:val="center"/>
          </w:tcPr>
          <w:p w14:paraId="20AB2E13">
            <w:pPr>
              <w:snapToGrid w:val="0"/>
              <w:spacing w:line="240" w:lineRule="auto"/>
              <w:jc w:val="center"/>
              <w:rPr>
                <w:rFonts w:ascii="Times New Roman" w:hAnsi="Times New Roman"/>
                <w:sz w:val="18"/>
                <w:szCs w:val="18"/>
              </w:rPr>
            </w:pPr>
          </w:p>
        </w:tc>
        <w:tc>
          <w:tcPr>
            <w:tcW w:w="1559" w:type="dxa"/>
            <w:tcBorders>
              <w:top w:val="single" w:color="auto" w:sz="4" w:space="0"/>
              <w:left w:val="single" w:color="auto" w:sz="4" w:space="0"/>
              <w:bottom w:val="single" w:color="auto" w:sz="4" w:space="0"/>
              <w:right w:val="single" w:color="auto" w:sz="4" w:space="0"/>
            </w:tcBorders>
            <w:vAlign w:val="center"/>
          </w:tcPr>
          <w:p w14:paraId="6213436D">
            <w:pPr>
              <w:snapToGrid w:val="0"/>
              <w:spacing w:line="240" w:lineRule="auto"/>
              <w:jc w:val="center"/>
              <w:rPr>
                <w:rFonts w:ascii="Times New Roman" w:hAnsi="Times New Roman"/>
                <w:sz w:val="18"/>
                <w:szCs w:val="18"/>
              </w:rPr>
            </w:pPr>
            <w:r>
              <w:rPr>
                <w:rFonts w:hint="eastAsia" w:ascii="Times New Roman" w:hAnsi="Times New Roman"/>
                <w:sz w:val="18"/>
                <w:szCs w:val="18"/>
              </w:rPr>
              <w:t>个体经济效益</w:t>
            </w:r>
          </w:p>
        </w:tc>
        <w:tc>
          <w:tcPr>
            <w:tcW w:w="2268" w:type="dxa"/>
            <w:tcBorders>
              <w:top w:val="single" w:color="auto" w:sz="4" w:space="0"/>
              <w:left w:val="single" w:color="auto" w:sz="4" w:space="0"/>
              <w:bottom w:val="single" w:color="auto" w:sz="4" w:space="0"/>
              <w:right w:val="single" w:color="auto" w:sz="4" w:space="0"/>
            </w:tcBorders>
            <w:vAlign w:val="center"/>
          </w:tcPr>
          <w:p w14:paraId="180E931A">
            <w:pPr>
              <w:snapToGrid w:val="0"/>
              <w:spacing w:line="240" w:lineRule="auto"/>
              <w:jc w:val="left"/>
              <w:rPr>
                <w:rFonts w:ascii="Times New Roman" w:hAnsi="Times New Roman"/>
                <w:sz w:val="18"/>
                <w:szCs w:val="18"/>
              </w:rPr>
            </w:pPr>
            <w:r>
              <w:rPr>
                <w:rFonts w:hint="eastAsia" w:ascii="Times New Roman" w:hAnsi="Times New Roman"/>
                <w:sz w:val="18"/>
                <w:szCs w:val="18"/>
              </w:rPr>
              <w:t>近三年</w:t>
            </w:r>
            <w:r>
              <w:rPr>
                <w:rFonts w:ascii="Times New Roman" w:hAnsi="Times New Roman"/>
                <w:sz w:val="18"/>
                <w:szCs w:val="18"/>
              </w:rPr>
              <w:t>户均收入增长率、增长（绝对）值</w:t>
            </w:r>
          </w:p>
        </w:tc>
        <w:tc>
          <w:tcPr>
            <w:tcW w:w="3118" w:type="dxa"/>
            <w:tcBorders>
              <w:top w:val="single" w:color="auto" w:sz="4" w:space="0"/>
              <w:left w:val="single" w:color="auto" w:sz="4" w:space="0"/>
              <w:bottom w:val="single" w:color="auto" w:sz="4" w:space="0"/>
              <w:right w:val="single" w:color="auto" w:sz="4" w:space="0"/>
            </w:tcBorders>
            <w:vAlign w:val="center"/>
          </w:tcPr>
          <w:p w14:paraId="0449D50E">
            <w:pPr>
              <w:snapToGrid w:val="0"/>
              <w:spacing w:line="240" w:lineRule="auto"/>
              <w:jc w:val="left"/>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户均收入增长率超过5%，</w:t>
            </w:r>
            <w:r>
              <w:rPr>
                <w:rFonts w:hint="eastAsia" w:ascii="Times New Roman" w:hAnsi="Times New Roman"/>
                <w:color w:val="000000" w:themeColor="text1"/>
                <w:sz w:val="18"/>
                <w:szCs w:val="18"/>
                <w14:textFill>
                  <w14:solidFill>
                    <w14:schemeClr w14:val="tx1"/>
                  </w14:solidFill>
                </w14:textFill>
              </w:rPr>
              <w:t>3</w:t>
            </w:r>
            <w:r>
              <w:rPr>
                <w:rFonts w:ascii="Times New Roman" w:hAnsi="Times New Roman"/>
                <w:color w:val="000000" w:themeColor="text1"/>
                <w:sz w:val="18"/>
                <w:szCs w:val="18"/>
                <w14:textFill>
                  <w14:solidFill>
                    <w14:schemeClr w14:val="tx1"/>
                  </w14:solidFill>
                </w14:textFill>
              </w:rPr>
              <w:t>分；增长但未超过5%的，</w:t>
            </w:r>
            <w:r>
              <w:rPr>
                <w:rFonts w:hint="eastAsia" w:ascii="Times New Roman" w:hAnsi="Times New Roman"/>
                <w:color w:val="000000" w:themeColor="text1"/>
                <w:sz w:val="18"/>
                <w:szCs w:val="18"/>
                <w14:textFill>
                  <w14:solidFill>
                    <w14:schemeClr w14:val="tx1"/>
                  </w14:solidFill>
                </w14:textFill>
              </w:rPr>
              <w:t>2</w:t>
            </w:r>
            <w:r>
              <w:rPr>
                <w:rFonts w:ascii="Times New Roman" w:hAnsi="Times New Roman"/>
                <w:color w:val="000000" w:themeColor="text1"/>
                <w:sz w:val="18"/>
                <w:szCs w:val="18"/>
                <w14:textFill>
                  <w14:solidFill>
                    <w14:schemeClr w14:val="tx1"/>
                  </w14:solidFill>
                </w14:textFill>
              </w:rPr>
              <w:t>分；无增长</w:t>
            </w:r>
            <w:r>
              <w:rPr>
                <w:rFonts w:hint="eastAsia" w:ascii="Times New Roman" w:hAnsi="Times New Roman"/>
                <w:color w:val="000000" w:themeColor="text1"/>
                <w:sz w:val="18"/>
                <w:szCs w:val="18"/>
                <w14:textFill>
                  <w14:solidFill>
                    <w14:schemeClr w14:val="tx1"/>
                  </w14:solidFill>
                </w14:textFill>
              </w:rPr>
              <w:t>、</w:t>
            </w:r>
            <w:r>
              <w:rPr>
                <w:rFonts w:ascii="Times New Roman" w:hAnsi="Times New Roman"/>
                <w:color w:val="000000" w:themeColor="text1"/>
                <w:sz w:val="18"/>
                <w:szCs w:val="18"/>
                <w14:textFill>
                  <w14:solidFill>
                    <w14:schemeClr w14:val="tx1"/>
                  </w14:solidFill>
                </w14:textFill>
              </w:rPr>
              <w:t>负增长0分。</w:t>
            </w:r>
          </w:p>
          <w:p w14:paraId="022E1282">
            <w:pPr>
              <w:snapToGrid w:val="0"/>
              <w:spacing w:line="240" w:lineRule="auto"/>
              <w:jc w:val="left"/>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户均收入增长（绝对）值分别按正数排序，前20%，2分；中间40%，1分；后40%，0.5分；无增长、负增长0分。</w:t>
            </w:r>
          </w:p>
        </w:tc>
        <w:tc>
          <w:tcPr>
            <w:tcW w:w="851" w:type="dxa"/>
            <w:tcBorders>
              <w:top w:val="single" w:color="auto" w:sz="4" w:space="0"/>
              <w:left w:val="single" w:color="auto" w:sz="4" w:space="0"/>
              <w:bottom w:val="single" w:color="auto" w:sz="4" w:space="0"/>
              <w:right w:val="single" w:color="auto" w:sz="4" w:space="0"/>
            </w:tcBorders>
            <w:vAlign w:val="center"/>
          </w:tcPr>
          <w:p w14:paraId="3C88B255">
            <w:pPr>
              <w:snapToGrid w:val="0"/>
              <w:spacing w:line="240" w:lineRule="auto"/>
              <w:jc w:val="center"/>
              <w:rPr>
                <w:rFonts w:ascii="Times New Roman" w:hAnsi="Times New Roman"/>
                <w:sz w:val="18"/>
                <w:szCs w:val="18"/>
              </w:rPr>
            </w:pPr>
            <w:r>
              <w:rPr>
                <w:rFonts w:hint="eastAsia" w:ascii="Times New Roman" w:hAnsi="Times New Roman"/>
                <w:sz w:val="18"/>
                <w:szCs w:val="18"/>
              </w:rPr>
              <w:t>【0-5】</w:t>
            </w:r>
          </w:p>
        </w:tc>
      </w:tr>
      <w:tr w14:paraId="14C0C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779" w:type="dxa"/>
            <w:vMerge w:val="continue"/>
            <w:tcBorders>
              <w:left w:val="single" w:color="auto" w:sz="4" w:space="0"/>
              <w:right w:val="single" w:color="auto" w:sz="4" w:space="0"/>
            </w:tcBorders>
          </w:tcPr>
          <w:p w14:paraId="39ED4E8E">
            <w:pPr>
              <w:snapToGrid w:val="0"/>
              <w:spacing w:line="240" w:lineRule="auto"/>
              <w:jc w:val="center"/>
              <w:rPr>
                <w:rFonts w:ascii="Times New Roman" w:hAnsi="Times New Roman"/>
                <w:sz w:val="18"/>
                <w:szCs w:val="18"/>
              </w:rPr>
            </w:pPr>
          </w:p>
        </w:tc>
        <w:tc>
          <w:tcPr>
            <w:tcW w:w="668" w:type="dxa"/>
            <w:vMerge w:val="restart"/>
            <w:tcBorders>
              <w:left w:val="single" w:color="auto" w:sz="4" w:space="0"/>
              <w:right w:val="single" w:color="auto" w:sz="4" w:space="0"/>
            </w:tcBorders>
            <w:vAlign w:val="center"/>
          </w:tcPr>
          <w:p w14:paraId="5FEB757A">
            <w:pPr>
              <w:snapToGrid w:val="0"/>
              <w:spacing w:line="240" w:lineRule="auto"/>
              <w:jc w:val="center"/>
              <w:rPr>
                <w:rFonts w:ascii="Times New Roman" w:hAnsi="Times New Roman"/>
                <w:b/>
                <w:bCs/>
                <w:sz w:val="18"/>
                <w:szCs w:val="18"/>
              </w:rPr>
            </w:pPr>
            <w:r>
              <w:rPr>
                <w:rFonts w:hint="eastAsia" w:ascii="Times New Roman" w:hAnsi="Times New Roman"/>
                <w:b/>
                <w:bCs/>
                <w:sz w:val="18"/>
                <w:szCs w:val="18"/>
              </w:rPr>
              <w:t>文化贡献力</w:t>
            </w:r>
          </w:p>
        </w:tc>
        <w:tc>
          <w:tcPr>
            <w:tcW w:w="1559" w:type="dxa"/>
            <w:tcBorders>
              <w:top w:val="single" w:color="auto" w:sz="4" w:space="0"/>
              <w:left w:val="single" w:color="auto" w:sz="4" w:space="0"/>
              <w:bottom w:val="single" w:color="auto" w:sz="4" w:space="0"/>
              <w:right w:val="single" w:color="auto" w:sz="4" w:space="0"/>
            </w:tcBorders>
            <w:vAlign w:val="center"/>
          </w:tcPr>
          <w:p w14:paraId="6706A5A1">
            <w:pPr>
              <w:snapToGrid w:val="0"/>
              <w:spacing w:line="240" w:lineRule="auto"/>
              <w:jc w:val="center"/>
              <w:rPr>
                <w:rFonts w:ascii="Times New Roman" w:hAnsi="Times New Roman"/>
                <w:sz w:val="18"/>
                <w:szCs w:val="18"/>
              </w:rPr>
            </w:pPr>
            <w:r>
              <w:rPr>
                <w:rFonts w:ascii="Times New Roman" w:hAnsi="Times New Roman"/>
                <w:sz w:val="18"/>
                <w:szCs w:val="18"/>
              </w:rPr>
              <w:t>特色文化的传承</w:t>
            </w:r>
          </w:p>
        </w:tc>
        <w:tc>
          <w:tcPr>
            <w:tcW w:w="2268" w:type="dxa"/>
            <w:tcBorders>
              <w:top w:val="single" w:color="auto" w:sz="4" w:space="0"/>
              <w:left w:val="single" w:color="auto" w:sz="4" w:space="0"/>
              <w:bottom w:val="single" w:color="auto" w:sz="4" w:space="0"/>
              <w:right w:val="single" w:color="auto" w:sz="4" w:space="0"/>
            </w:tcBorders>
          </w:tcPr>
          <w:p w14:paraId="050D094D">
            <w:pPr>
              <w:snapToGrid w:val="0"/>
              <w:spacing w:line="240" w:lineRule="auto"/>
              <w:jc w:val="left"/>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非遗文化、历史文脉、民俗文化</w:t>
            </w:r>
            <w:r>
              <w:rPr>
                <w:rFonts w:hint="eastAsia" w:ascii="Times New Roman" w:hAnsi="Times New Roman"/>
                <w:color w:val="000000" w:themeColor="text1"/>
                <w:sz w:val="18"/>
                <w:szCs w:val="18"/>
                <w14:textFill>
                  <w14:solidFill>
                    <w14:schemeClr w14:val="tx1"/>
                  </w14:solidFill>
                </w14:textFill>
              </w:rPr>
              <w:t>的传承。</w:t>
            </w:r>
          </w:p>
        </w:tc>
        <w:tc>
          <w:tcPr>
            <w:tcW w:w="3118" w:type="dxa"/>
            <w:tcBorders>
              <w:top w:val="single" w:color="auto" w:sz="4" w:space="0"/>
              <w:left w:val="single" w:color="auto" w:sz="4" w:space="0"/>
              <w:bottom w:val="single" w:color="auto" w:sz="4" w:space="0"/>
              <w:right w:val="single" w:color="auto" w:sz="4" w:space="0"/>
            </w:tcBorders>
            <w:vAlign w:val="center"/>
          </w:tcPr>
          <w:p w14:paraId="3EBDD56C">
            <w:pPr>
              <w:snapToGrid w:val="0"/>
              <w:spacing w:line="240" w:lineRule="auto"/>
              <w:jc w:val="left"/>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入选各级非遗项目，联合国、国家级，3分；省级，2分；市县级，1分。</w:t>
            </w:r>
          </w:p>
          <w:p w14:paraId="602A9375">
            <w:pPr>
              <w:snapToGrid w:val="0"/>
              <w:spacing w:line="240" w:lineRule="auto"/>
              <w:jc w:val="left"/>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传播非遗项目，有传播立项与实施，2分；无传播立项与实施，0分。</w:t>
            </w:r>
          </w:p>
        </w:tc>
        <w:tc>
          <w:tcPr>
            <w:tcW w:w="851" w:type="dxa"/>
            <w:tcBorders>
              <w:top w:val="single" w:color="auto" w:sz="4" w:space="0"/>
              <w:left w:val="single" w:color="auto" w:sz="4" w:space="0"/>
              <w:bottom w:val="single" w:color="auto" w:sz="4" w:space="0"/>
              <w:right w:val="single" w:color="auto" w:sz="4" w:space="0"/>
            </w:tcBorders>
            <w:vAlign w:val="center"/>
          </w:tcPr>
          <w:p w14:paraId="5C67CA17">
            <w:pPr>
              <w:snapToGrid w:val="0"/>
              <w:spacing w:line="240" w:lineRule="auto"/>
              <w:jc w:val="center"/>
              <w:rPr>
                <w:rFonts w:ascii="Times New Roman" w:hAnsi="Times New Roman"/>
                <w:sz w:val="18"/>
                <w:szCs w:val="18"/>
              </w:rPr>
            </w:pPr>
            <w:r>
              <w:rPr>
                <w:rFonts w:hint="eastAsia" w:ascii="Times New Roman" w:hAnsi="Times New Roman"/>
                <w:sz w:val="18"/>
                <w:szCs w:val="18"/>
              </w:rPr>
              <w:t>【0-5】</w:t>
            </w:r>
          </w:p>
        </w:tc>
      </w:tr>
      <w:tr w14:paraId="324D6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779" w:type="dxa"/>
            <w:vMerge w:val="continue"/>
            <w:tcBorders>
              <w:left w:val="single" w:color="auto" w:sz="4" w:space="0"/>
              <w:right w:val="single" w:color="auto" w:sz="4" w:space="0"/>
            </w:tcBorders>
          </w:tcPr>
          <w:p w14:paraId="5C2AE682">
            <w:pPr>
              <w:snapToGrid w:val="0"/>
              <w:spacing w:line="240" w:lineRule="auto"/>
              <w:jc w:val="center"/>
              <w:rPr>
                <w:rFonts w:ascii="Times New Roman" w:hAnsi="Times New Roman"/>
                <w:sz w:val="18"/>
                <w:szCs w:val="18"/>
              </w:rPr>
            </w:pPr>
          </w:p>
        </w:tc>
        <w:tc>
          <w:tcPr>
            <w:tcW w:w="668" w:type="dxa"/>
            <w:vMerge w:val="continue"/>
            <w:tcBorders>
              <w:left w:val="single" w:color="auto" w:sz="4" w:space="0"/>
              <w:right w:val="single" w:color="auto" w:sz="4" w:space="0"/>
            </w:tcBorders>
            <w:vAlign w:val="center"/>
          </w:tcPr>
          <w:p w14:paraId="74D9FB90">
            <w:pPr>
              <w:snapToGrid w:val="0"/>
              <w:spacing w:line="240" w:lineRule="auto"/>
              <w:jc w:val="center"/>
              <w:rPr>
                <w:rFonts w:ascii="Times New Roman" w:hAnsi="Times New Roman"/>
                <w:b/>
                <w:bCs/>
                <w:sz w:val="18"/>
                <w:szCs w:val="18"/>
              </w:rPr>
            </w:pPr>
          </w:p>
        </w:tc>
        <w:tc>
          <w:tcPr>
            <w:tcW w:w="1559" w:type="dxa"/>
            <w:tcBorders>
              <w:top w:val="single" w:color="auto" w:sz="4" w:space="0"/>
              <w:left w:val="single" w:color="auto" w:sz="4" w:space="0"/>
              <w:bottom w:val="single" w:color="auto" w:sz="4" w:space="0"/>
              <w:right w:val="single" w:color="auto" w:sz="4" w:space="0"/>
            </w:tcBorders>
            <w:vAlign w:val="center"/>
          </w:tcPr>
          <w:p w14:paraId="6994CA8E">
            <w:pPr>
              <w:snapToGrid w:val="0"/>
              <w:spacing w:line="240" w:lineRule="auto"/>
              <w:jc w:val="center"/>
              <w:rPr>
                <w:rFonts w:ascii="Times New Roman" w:hAnsi="Times New Roman"/>
                <w:sz w:val="18"/>
                <w:szCs w:val="18"/>
              </w:rPr>
            </w:pPr>
            <w:r>
              <w:rPr>
                <w:rFonts w:ascii="Times New Roman" w:hAnsi="Times New Roman"/>
                <w:sz w:val="18"/>
                <w:szCs w:val="18"/>
              </w:rPr>
              <w:t>特色文化的</w:t>
            </w:r>
            <w:r>
              <w:rPr>
                <w:rFonts w:hint="eastAsia" w:ascii="Times New Roman" w:hAnsi="Times New Roman"/>
                <w:sz w:val="18"/>
                <w:szCs w:val="18"/>
              </w:rPr>
              <w:t>活化</w:t>
            </w:r>
          </w:p>
        </w:tc>
        <w:tc>
          <w:tcPr>
            <w:tcW w:w="2268" w:type="dxa"/>
            <w:tcBorders>
              <w:top w:val="single" w:color="auto" w:sz="4" w:space="0"/>
              <w:left w:val="single" w:color="auto" w:sz="4" w:space="0"/>
              <w:bottom w:val="single" w:color="auto" w:sz="4" w:space="0"/>
              <w:right w:val="single" w:color="auto" w:sz="4" w:space="0"/>
            </w:tcBorders>
          </w:tcPr>
          <w:p w14:paraId="0C2BA48C">
            <w:pPr>
              <w:snapToGrid w:val="0"/>
              <w:spacing w:line="240" w:lineRule="auto"/>
              <w:jc w:val="left"/>
              <w:rPr>
                <w:rFonts w:ascii="Times New Roman" w:hAnsi="Times New Roman"/>
                <w:sz w:val="18"/>
                <w:szCs w:val="18"/>
              </w:rPr>
            </w:pPr>
            <w:r>
              <w:rPr>
                <w:rFonts w:ascii="Times New Roman" w:hAnsi="Times New Roman"/>
                <w:sz w:val="18"/>
                <w:szCs w:val="18"/>
              </w:rPr>
              <w:t>非遗文化、历史文脉、民俗文化</w:t>
            </w:r>
            <w:r>
              <w:rPr>
                <w:rFonts w:hint="eastAsia" w:ascii="Times New Roman" w:hAnsi="Times New Roman"/>
                <w:sz w:val="18"/>
                <w:szCs w:val="18"/>
              </w:rPr>
              <w:t>的活化。</w:t>
            </w:r>
          </w:p>
        </w:tc>
        <w:tc>
          <w:tcPr>
            <w:tcW w:w="3118" w:type="dxa"/>
            <w:tcBorders>
              <w:top w:val="single" w:color="auto" w:sz="4" w:space="0"/>
              <w:left w:val="single" w:color="auto" w:sz="4" w:space="0"/>
              <w:bottom w:val="single" w:color="auto" w:sz="4" w:space="0"/>
              <w:right w:val="single" w:color="auto" w:sz="4" w:space="0"/>
            </w:tcBorders>
            <w:vAlign w:val="center"/>
          </w:tcPr>
          <w:p w14:paraId="0154451D">
            <w:pPr>
              <w:snapToGrid w:val="0"/>
              <w:spacing w:line="240" w:lineRule="auto"/>
              <w:jc w:val="left"/>
              <w:rPr>
                <w:rFonts w:ascii="Times New Roman" w:hAnsi="Times New Roman"/>
                <w:color w:val="000000" w:themeColor="text1"/>
                <w:sz w:val="18"/>
                <w:szCs w:val="18"/>
                <w14:textFill>
                  <w14:solidFill>
                    <w14:schemeClr w14:val="tx1"/>
                  </w14:solidFill>
                </w14:textFill>
              </w:rPr>
            </w:pPr>
            <w:r>
              <w:rPr>
                <w:rFonts w:hint="eastAsia" w:ascii="Times New Roman" w:hAnsi="Times New Roman"/>
                <w:sz w:val="18"/>
                <w:szCs w:val="18"/>
              </w:rPr>
              <w:t>有传承人，1分；有活化项目立项，1分；有文创活化产业，2分； 有知名民俗文化节，1分；前述全无，0分。</w:t>
            </w:r>
          </w:p>
        </w:tc>
        <w:tc>
          <w:tcPr>
            <w:tcW w:w="851" w:type="dxa"/>
            <w:tcBorders>
              <w:top w:val="single" w:color="auto" w:sz="4" w:space="0"/>
              <w:left w:val="single" w:color="auto" w:sz="4" w:space="0"/>
              <w:bottom w:val="single" w:color="auto" w:sz="4" w:space="0"/>
              <w:right w:val="single" w:color="auto" w:sz="4" w:space="0"/>
            </w:tcBorders>
            <w:vAlign w:val="center"/>
          </w:tcPr>
          <w:p w14:paraId="18EC0A22">
            <w:pPr>
              <w:snapToGrid w:val="0"/>
              <w:spacing w:line="240" w:lineRule="auto"/>
              <w:jc w:val="center"/>
              <w:rPr>
                <w:rFonts w:ascii="Times New Roman" w:hAnsi="Times New Roman"/>
                <w:sz w:val="18"/>
                <w:szCs w:val="18"/>
              </w:rPr>
            </w:pPr>
            <w:r>
              <w:rPr>
                <w:rFonts w:hint="eastAsia" w:ascii="Times New Roman" w:hAnsi="Times New Roman"/>
                <w:sz w:val="18"/>
                <w:szCs w:val="18"/>
              </w:rPr>
              <w:t>【0-5】</w:t>
            </w:r>
          </w:p>
        </w:tc>
      </w:tr>
      <w:tr w14:paraId="3C198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779" w:type="dxa"/>
            <w:vMerge w:val="continue"/>
            <w:tcBorders>
              <w:left w:val="single" w:color="auto" w:sz="4" w:space="0"/>
              <w:right w:val="single" w:color="auto" w:sz="4" w:space="0"/>
            </w:tcBorders>
          </w:tcPr>
          <w:p w14:paraId="6281B031">
            <w:pPr>
              <w:snapToGrid w:val="0"/>
              <w:spacing w:line="240" w:lineRule="auto"/>
              <w:jc w:val="center"/>
              <w:rPr>
                <w:rFonts w:ascii="Times New Roman" w:hAnsi="Times New Roman"/>
                <w:sz w:val="18"/>
                <w:szCs w:val="18"/>
              </w:rPr>
            </w:pPr>
          </w:p>
        </w:tc>
        <w:tc>
          <w:tcPr>
            <w:tcW w:w="668" w:type="dxa"/>
            <w:vMerge w:val="restart"/>
            <w:tcBorders>
              <w:left w:val="single" w:color="auto" w:sz="4" w:space="0"/>
              <w:right w:val="single" w:color="auto" w:sz="4" w:space="0"/>
            </w:tcBorders>
            <w:vAlign w:val="center"/>
          </w:tcPr>
          <w:p w14:paraId="2451356C">
            <w:pPr>
              <w:snapToGrid w:val="0"/>
              <w:spacing w:line="240" w:lineRule="auto"/>
              <w:jc w:val="center"/>
              <w:rPr>
                <w:rFonts w:ascii="Times New Roman" w:hAnsi="Times New Roman"/>
                <w:b/>
                <w:bCs/>
                <w:sz w:val="18"/>
                <w:szCs w:val="18"/>
              </w:rPr>
            </w:pPr>
            <w:r>
              <w:rPr>
                <w:rFonts w:hint="eastAsia" w:ascii="Times New Roman" w:hAnsi="Times New Roman"/>
                <w:b/>
                <w:bCs/>
                <w:sz w:val="18"/>
                <w:szCs w:val="18"/>
              </w:rPr>
              <w:t>机制创新力</w:t>
            </w:r>
          </w:p>
        </w:tc>
        <w:tc>
          <w:tcPr>
            <w:tcW w:w="1559" w:type="dxa"/>
            <w:tcBorders>
              <w:top w:val="single" w:color="auto" w:sz="4" w:space="0"/>
              <w:left w:val="single" w:color="auto" w:sz="4" w:space="0"/>
              <w:bottom w:val="single" w:color="auto" w:sz="4" w:space="0"/>
              <w:right w:val="single" w:color="auto" w:sz="4" w:space="0"/>
            </w:tcBorders>
            <w:vAlign w:val="center"/>
          </w:tcPr>
          <w:p w14:paraId="5A7B401B">
            <w:pPr>
              <w:snapToGrid w:val="0"/>
              <w:spacing w:line="240" w:lineRule="auto"/>
              <w:jc w:val="center"/>
              <w:rPr>
                <w:rFonts w:ascii="Times New Roman" w:hAnsi="Times New Roman"/>
                <w:sz w:val="18"/>
                <w:szCs w:val="18"/>
              </w:rPr>
            </w:pPr>
            <w:r>
              <w:rPr>
                <w:rFonts w:ascii="Times New Roman" w:hAnsi="Times New Roman"/>
                <w:sz w:val="18"/>
                <w:szCs w:val="18"/>
              </w:rPr>
              <w:t>模式创新性</w:t>
            </w:r>
          </w:p>
        </w:tc>
        <w:tc>
          <w:tcPr>
            <w:tcW w:w="2268" w:type="dxa"/>
            <w:tcBorders>
              <w:top w:val="single" w:color="auto" w:sz="4" w:space="0"/>
              <w:left w:val="single" w:color="auto" w:sz="4" w:space="0"/>
              <w:bottom w:val="single" w:color="auto" w:sz="4" w:space="0"/>
              <w:right w:val="single" w:color="auto" w:sz="4" w:space="0"/>
            </w:tcBorders>
            <w:vAlign w:val="center"/>
          </w:tcPr>
          <w:p w14:paraId="45573DC6">
            <w:pPr>
              <w:snapToGrid w:val="0"/>
              <w:spacing w:line="240" w:lineRule="auto"/>
              <w:jc w:val="left"/>
              <w:rPr>
                <w:rFonts w:ascii="Times New Roman" w:hAnsi="Times New Roman"/>
                <w:sz w:val="18"/>
                <w:szCs w:val="18"/>
              </w:rPr>
            </w:pPr>
            <w:r>
              <w:rPr>
                <w:rFonts w:ascii="Times New Roman" w:hAnsi="Times New Roman"/>
                <w:sz w:val="18"/>
                <w:szCs w:val="18"/>
              </w:rPr>
              <w:t>管理、利益分配、合作</w:t>
            </w:r>
            <w:r>
              <w:rPr>
                <w:rFonts w:hint="eastAsia" w:ascii="Times New Roman" w:hAnsi="Times New Roman"/>
                <w:sz w:val="18"/>
                <w:szCs w:val="18"/>
              </w:rPr>
              <w:t>机制</w:t>
            </w:r>
            <w:r>
              <w:rPr>
                <w:rFonts w:ascii="Times New Roman" w:hAnsi="Times New Roman"/>
                <w:sz w:val="18"/>
                <w:szCs w:val="18"/>
              </w:rPr>
              <w:t>等方面有创新</w:t>
            </w:r>
            <w:r>
              <w:rPr>
                <w:rFonts w:hint="eastAsia" w:ascii="Times New Roman" w:hAnsi="Times New Roman"/>
                <w:sz w:val="18"/>
                <w:szCs w:val="18"/>
              </w:rPr>
              <w:t>。</w:t>
            </w:r>
          </w:p>
        </w:tc>
        <w:tc>
          <w:tcPr>
            <w:tcW w:w="3118" w:type="dxa"/>
            <w:tcBorders>
              <w:top w:val="single" w:color="auto" w:sz="4" w:space="0"/>
              <w:left w:val="single" w:color="auto" w:sz="4" w:space="0"/>
              <w:bottom w:val="single" w:color="auto" w:sz="4" w:space="0"/>
              <w:right w:val="single" w:color="auto" w:sz="4" w:space="0"/>
            </w:tcBorders>
            <w:vAlign w:val="center"/>
          </w:tcPr>
          <w:p w14:paraId="3EE9B956">
            <w:pPr>
              <w:snapToGrid w:val="0"/>
              <w:spacing w:line="240" w:lineRule="auto"/>
              <w:jc w:val="left"/>
              <w:rPr>
                <w:rFonts w:ascii="Times New Roman" w:hAnsi="Times New Roman"/>
                <w:color w:val="000000" w:themeColor="text1"/>
                <w:sz w:val="18"/>
                <w:szCs w:val="18"/>
                <w14:textFill>
                  <w14:solidFill>
                    <w14:schemeClr w14:val="tx1"/>
                  </w14:solidFill>
                </w14:textFill>
              </w:rPr>
            </w:pPr>
            <w:r>
              <w:rPr>
                <w:rFonts w:ascii="Times New Roman" w:hAnsi="Times New Roman"/>
                <w:sz w:val="18"/>
                <w:szCs w:val="18"/>
              </w:rPr>
              <w:t>根据材料提供情况，由专家评议打分。</w:t>
            </w:r>
          </w:p>
        </w:tc>
        <w:tc>
          <w:tcPr>
            <w:tcW w:w="851" w:type="dxa"/>
            <w:tcBorders>
              <w:top w:val="single" w:color="auto" w:sz="4" w:space="0"/>
              <w:left w:val="single" w:color="auto" w:sz="4" w:space="0"/>
              <w:bottom w:val="single" w:color="auto" w:sz="4" w:space="0"/>
              <w:right w:val="single" w:color="auto" w:sz="4" w:space="0"/>
            </w:tcBorders>
            <w:vAlign w:val="center"/>
          </w:tcPr>
          <w:p w14:paraId="2777DB01">
            <w:pPr>
              <w:snapToGrid w:val="0"/>
              <w:spacing w:line="240" w:lineRule="auto"/>
              <w:jc w:val="center"/>
              <w:rPr>
                <w:rFonts w:ascii="Times New Roman" w:hAnsi="Times New Roman"/>
                <w:sz w:val="18"/>
                <w:szCs w:val="18"/>
              </w:rPr>
            </w:pPr>
            <w:r>
              <w:rPr>
                <w:rFonts w:hint="eastAsia" w:ascii="Times New Roman" w:hAnsi="Times New Roman"/>
                <w:sz w:val="18"/>
                <w:szCs w:val="18"/>
              </w:rPr>
              <w:t>【0-5】</w:t>
            </w:r>
          </w:p>
        </w:tc>
      </w:tr>
      <w:tr w14:paraId="103FC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779" w:type="dxa"/>
            <w:vMerge w:val="continue"/>
            <w:tcBorders>
              <w:left w:val="single" w:color="auto" w:sz="4" w:space="0"/>
              <w:right w:val="single" w:color="auto" w:sz="4" w:space="0"/>
            </w:tcBorders>
          </w:tcPr>
          <w:p w14:paraId="0095B49F">
            <w:pPr>
              <w:snapToGrid w:val="0"/>
              <w:spacing w:line="240" w:lineRule="auto"/>
              <w:jc w:val="center"/>
              <w:rPr>
                <w:rFonts w:ascii="Times New Roman" w:hAnsi="Times New Roman"/>
                <w:sz w:val="18"/>
                <w:szCs w:val="18"/>
              </w:rPr>
            </w:pPr>
          </w:p>
        </w:tc>
        <w:tc>
          <w:tcPr>
            <w:tcW w:w="668" w:type="dxa"/>
            <w:vMerge w:val="continue"/>
            <w:tcBorders>
              <w:left w:val="single" w:color="auto" w:sz="4" w:space="0"/>
              <w:right w:val="single" w:color="auto" w:sz="4" w:space="0"/>
            </w:tcBorders>
            <w:vAlign w:val="center"/>
          </w:tcPr>
          <w:p w14:paraId="0A3EEF96">
            <w:pPr>
              <w:snapToGrid w:val="0"/>
              <w:spacing w:line="240" w:lineRule="auto"/>
              <w:jc w:val="center"/>
              <w:rPr>
                <w:rFonts w:ascii="Times New Roman" w:hAnsi="Times New Roman"/>
                <w:sz w:val="18"/>
                <w:szCs w:val="18"/>
              </w:rPr>
            </w:pPr>
          </w:p>
        </w:tc>
        <w:tc>
          <w:tcPr>
            <w:tcW w:w="1559" w:type="dxa"/>
            <w:tcBorders>
              <w:top w:val="single" w:color="auto" w:sz="4" w:space="0"/>
              <w:left w:val="single" w:color="auto" w:sz="4" w:space="0"/>
              <w:right w:val="single" w:color="auto" w:sz="4" w:space="0"/>
            </w:tcBorders>
            <w:vAlign w:val="center"/>
          </w:tcPr>
          <w:p w14:paraId="2B7A0D55">
            <w:pPr>
              <w:snapToGrid w:val="0"/>
              <w:spacing w:line="240" w:lineRule="auto"/>
              <w:jc w:val="center"/>
              <w:rPr>
                <w:rFonts w:ascii="Times New Roman" w:hAnsi="Times New Roman"/>
                <w:sz w:val="18"/>
                <w:szCs w:val="18"/>
              </w:rPr>
            </w:pPr>
            <w:r>
              <w:rPr>
                <w:rFonts w:ascii="Times New Roman" w:hAnsi="Times New Roman"/>
                <w:sz w:val="18"/>
                <w:szCs w:val="18"/>
              </w:rPr>
              <w:t>模式</w:t>
            </w:r>
            <w:r>
              <w:rPr>
                <w:rFonts w:hint="eastAsia" w:ascii="Times New Roman" w:hAnsi="Times New Roman"/>
                <w:sz w:val="18"/>
                <w:szCs w:val="18"/>
              </w:rPr>
              <w:t>典范性</w:t>
            </w:r>
          </w:p>
        </w:tc>
        <w:tc>
          <w:tcPr>
            <w:tcW w:w="2268" w:type="dxa"/>
            <w:tcBorders>
              <w:top w:val="single" w:color="auto" w:sz="4" w:space="0"/>
              <w:left w:val="single" w:color="auto" w:sz="4" w:space="0"/>
              <w:right w:val="single" w:color="auto" w:sz="4" w:space="0"/>
            </w:tcBorders>
            <w:vAlign w:val="center"/>
          </w:tcPr>
          <w:p w14:paraId="045E51EF">
            <w:pPr>
              <w:snapToGrid w:val="0"/>
              <w:spacing w:line="240" w:lineRule="auto"/>
              <w:jc w:val="left"/>
              <w:rPr>
                <w:rFonts w:ascii="Times New Roman" w:hAnsi="Times New Roman"/>
                <w:sz w:val="18"/>
                <w:szCs w:val="18"/>
              </w:rPr>
            </w:pPr>
            <w:r>
              <w:rPr>
                <w:rFonts w:ascii="Times New Roman" w:hAnsi="Times New Roman"/>
                <w:sz w:val="18"/>
                <w:szCs w:val="18"/>
              </w:rPr>
              <w:t>品牌乡村运营模式在</w:t>
            </w:r>
            <w:r>
              <w:rPr>
                <w:rFonts w:hint="eastAsia" w:ascii="Times New Roman" w:hAnsi="Times New Roman"/>
                <w:sz w:val="18"/>
                <w:szCs w:val="18"/>
              </w:rPr>
              <w:t>其它乡村</w:t>
            </w:r>
            <w:r>
              <w:rPr>
                <w:rFonts w:ascii="Times New Roman" w:hAnsi="Times New Roman"/>
                <w:sz w:val="18"/>
                <w:szCs w:val="18"/>
              </w:rPr>
              <w:t>能够被借鉴</w:t>
            </w:r>
            <w:r>
              <w:rPr>
                <w:rFonts w:hint="eastAsia" w:ascii="Times New Roman" w:hAnsi="Times New Roman"/>
                <w:sz w:val="18"/>
                <w:szCs w:val="18"/>
              </w:rPr>
              <w:t>，具有典范意义。</w:t>
            </w:r>
          </w:p>
        </w:tc>
        <w:tc>
          <w:tcPr>
            <w:tcW w:w="3118" w:type="dxa"/>
            <w:tcBorders>
              <w:top w:val="single" w:color="auto" w:sz="4" w:space="0"/>
              <w:left w:val="single" w:color="auto" w:sz="4" w:space="0"/>
              <w:right w:val="single" w:color="auto" w:sz="4" w:space="0"/>
            </w:tcBorders>
            <w:vAlign w:val="center"/>
          </w:tcPr>
          <w:p w14:paraId="3179E3B4">
            <w:pPr>
              <w:snapToGrid w:val="0"/>
              <w:spacing w:line="240" w:lineRule="auto"/>
              <w:jc w:val="left"/>
              <w:rPr>
                <w:rFonts w:ascii="Times New Roman" w:hAnsi="Times New Roman"/>
                <w:color w:val="000000" w:themeColor="text1"/>
                <w:sz w:val="18"/>
                <w:szCs w:val="18"/>
                <w14:textFill>
                  <w14:solidFill>
                    <w14:schemeClr w14:val="tx1"/>
                  </w14:solidFill>
                </w14:textFill>
              </w:rPr>
            </w:pPr>
            <w:r>
              <w:rPr>
                <w:rFonts w:ascii="Times New Roman" w:hAnsi="Times New Roman"/>
                <w:sz w:val="18"/>
                <w:szCs w:val="18"/>
              </w:rPr>
              <w:t>根据材料提供情况，由专家评议打分。</w:t>
            </w:r>
          </w:p>
        </w:tc>
        <w:tc>
          <w:tcPr>
            <w:tcW w:w="851" w:type="dxa"/>
            <w:tcBorders>
              <w:top w:val="single" w:color="auto" w:sz="4" w:space="0"/>
              <w:left w:val="single" w:color="auto" w:sz="4" w:space="0"/>
              <w:right w:val="single" w:color="auto" w:sz="4" w:space="0"/>
            </w:tcBorders>
            <w:vAlign w:val="center"/>
          </w:tcPr>
          <w:p w14:paraId="2C21301E">
            <w:pPr>
              <w:snapToGrid w:val="0"/>
              <w:spacing w:line="240" w:lineRule="auto"/>
              <w:jc w:val="center"/>
              <w:rPr>
                <w:rFonts w:ascii="Times New Roman" w:hAnsi="Times New Roman"/>
                <w:sz w:val="18"/>
                <w:szCs w:val="18"/>
              </w:rPr>
            </w:pPr>
            <w:r>
              <w:rPr>
                <w:rFonts w:hint="eastAsia" w:ascii="Times New Roman" w:hAnsi="Times New Roman"/>
                <w:sz w:val="18"/>
                <w:szCs w:val="18"/>
              </w:rPr>
              <w:t>【0-5】</w:t>
            </w:r>
          </w:p>
        </w:tc>
      </w:tr>
    </w:tbl>
    <w:p w14:paraId="212DC327">
      <w:pPr>
        <w:pStyle w:val="14"/>
        <w:ind w:firstLine="0" w:firstLineChars="0"/>
      </w:pPr>
    </w:p>
    <w:p w14:paraId="7DF390B7">
      <w:pPr>
        <w:pStyle w:val="30"/>
        <w:numPr>
          <w:ilvl w:val="0"/>
          <w:numId w:val="0"/>
        </w:numPr>
        <w:spacing w:before="120" w:after="120"/>
        <w:rPr>
          <w:rFonts w:hint="eastAsia" w:hAnsi="黑体" w:cs="黑体"/>
          <w:szCs w:val="21"/>
        </w:rPr>
      </w:pPr>
      <w:bookmarkStart w:id="69" w:name="_Toc228868572"/>
      <w:r>
        <w:rPr>
          <w:rFonts w:hAnsi="黑体" w:cs="黑体"/>
          <w:szCs w:val="21"/>
        </w:rPr>
        <w:t>A.</w:t>
      </w:r>
      <w:r>
        <w:rPr>
          <w:rFonts w:hint="eastAsia" w:hAnsi="黑体" w:cs="黑体"/>
          <w:szCs w:val="21"/>
        </w:rPr>
        <w:t>2品牌乡村（片区组团）评价指标与评分细则</w:t>
      </w:r>
      <w:bookmarkEnd w:id="69"/>
    </w:p>
    <w:p w14:paraId="0ED00527">
      <w:pPr>
        <w:pStyle w:val="31"/>
        <w:numPr>
          <w:ilvl w:val="0"/>
          <w:numId w:val="0"/>
        </w:numPr>
        <w:spacing w:before="120" w:after="120"/>
        <w:rPr>
          <w:rFonts w:hint="eastAsia" w:hAnsi="黑体" w:cs="黑体"/>
        </w:rPr>
      </w:pPr>
      <w:r>
        <w:rPr>
          <w:rFonts w:hint="eastAsia" w:hAnsi="黑体" w:cs="黑体"/>
        </w:rPr>
        <w:t>表</w:t>
      </w:r>
      <w:r>
        <w:rPr>
          <w:rFonts w:hAnsi="黑体" w:cs="黑体"/>
        </w:rPr>
        <w:t>A.</w:t>
      </w:r>
      <w:r>
        <w:rPr>
          <w:rFonts w:hint="eastAsia" w:hAnsi="黑体" w:cs="黑体"/>
        </w:rPr>
        <w:t>2</w:t>
      </w:r>
      <w:r>
        <w:rPr>
          <w:rFonts w:hAnsi="黑体" w:cs="黑体"/>
        </w:rPr>
        <w:t xml:space="preserve"> </w:t>
      </w:r>
      <w:r>
        <w:rPr>
          <w:rFonts w:hint="eastAsia" w:hAnsi="黑体" w:cs="黑体"/>
        </w:rPr>
        <w:t>品牌乡村（片区组团）评价指标与评分细则</w:t>
      </w:r>
    </w:p>
    <w:tbl>
      <w:tblPr>
        <w:tblStyle w:val="7"/>
        <w:tblW w:w="92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709"/>
        <w:gridCol w:w="1417"/>
        <w:gridCol w:w="2410"/>
        <w:gridCol w:w="3118"/>
        <w:gridCol w:w="851"/>
      </w:tblGrid>
      <w:tr w14:paraId="3C1C4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tcPr>
          <w:p w14:paraId="4BE32B1A">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r>
              <w:rPr>
                <w:rFonts w:ascii="Times New Roman" w:hAnsi="Times New Roman" w:cs="Times New Roman"/>
                <w:b/>
                <w:bCs/>
                <w:kern w:val="2"/>
                <w:sz w:val="21"/>
                <w:szCs w:val="21"/>
              </w:rPr>
              <w:t>一级指标</w:t>
            </w:r>
          </w:p>
        </w:tc>
        <w:tc>
          <w:tcPr>
            <w:tcW w:w="709" w:type="dxa"/>
            <w:tcBorders>
              <w:top w:val="single" w:color="auto" w:sz="4" w:space="0"/>
              <w:left w:val="single" w:color="auto" w:sz="4" w:space="0"/>
              <w:bottom w:val="single" w:color="auto" w:sz="4" w:space="0"/>
              <w:right w:val="single" w:color="auto" w:sz="4" w:space="0"/>
            </w:tcBorders>
          </w:tcPr>
          <w:p w14:paraId="64F96CAB">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r>
              <w:rPr>
                <w:rFonts w:ascii="Times New Roman" w:hAnsi="Times New Roman" w:cs="Times New Roman"/>
                <w:b/>
                <w:bCs/>
                <w:kern w:val="2"/>
                <w:sz w:val="21"/>
                <w:szCs w:val="21"/>
              </w:rPr>
              <w:t>二级指标</w:t>
            </w:r>
          </w:p>
        </w:tc>
        <w:tc>
          <w:tcPr>
            <w:tcW w:w="1417" w:type="dxa"/>
            <w:tcBorders>
              <w:top w:val="single" w:color="auto" w:sz="4" w:space="0"/>
              <w:left w:val="single" w:color="auto" w:sz="4" w:space="0"/>
              <w:bottom w:val="single" w:color="auto" w:sz="4" w:space="0"/>
              <w:right w:val="single" w:color="auto" w:sz="4" w:space="0"/>
            </w:tcBorders>
          </w:tcPr>
          <w:p w14:paraId="4FCACF5C">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r>
              <w:rPr>
                <w:rFonts w:ascii="Times New Roman" w:hAnsi="Times New Roman" w:cs="Times New Roman"/>
                <w:b/>
                <w:bCs/>
                <w:kern w:val="2"/>
                <w:sz w:val="21"/>
                <w:szCs w:val="21"/>
              </w:rPr>
              <w:t>三级</w:t>
            </w:r>
            <w:r>
              <w:rPr>
                <w:rFonts w:hint="eastAsia" w:ascii="Times New Roman" w:hAnsi="Times New Roman" w:cs="Times New Roman"/>
                <w:b/>
                <w:bCs/>
                <w:kern w:val="2"/>
                <w:sz w:val="21"/>
                <w:szCs w:val="21"/>
              </w:rPr>
              <w:t xml:space="preserve">      </w:t>
            </w:r>
            <w:r>
              <w:rPr>
                <w:rFonts w:ascii="Times New Roman" w:hAnsi="Times New Roman" w:cs="Times New Roman"/>
                <w:b/>
                <w:bCs/>
                <w:kern w:val="2"/>
                <w:sz w:val="21"/>
                <w:szCs w:val="21"/>
              </w:rPr>
              <w:t>指标</w:t>
            </w:r>
          </w:p>
        </w:tc>
        <w:tc>
          <w:tcPr>
            <w:tcW w:w="2410" w:type="dxa"/>
            <w:tcBorders>
              <w:top w:val="single" w:color="auto" w:sz="4" w:space="0"/>
              <w:left w:val="single" w:color="auto" w:sz="4" w:space="0"/>
              <w:bottom w:val="single" w:color="auto" w:sz="4" w:space="0"/>
              <w:right w:val="single" w:color="auto" w:sz="4" w:space="0"/>
            </w:tcBorders>
            <w:vAlign w:val="center"/>
          </w:tcPr>
          <w:p w14:paraId="3281E433">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r>
              <w:rPr>
                <w:rFonts w:hint="eastAsia" w:ascii="Times New Roman" w:hAnsi="Times New Roman" w:cs="Times New Roman"/>
                <w:b/>
                <w:bCs/>
                <w:kern w:val="2"/>
                <w:sz w:val="21"/>
                <w:szCs w:val="21"/>
              </w:rPr>
              <w:t>指标说明</w:t>
            </w:r>
          </w:p>
        </w:tc>
        <w:tc>
          <w:tcPr>
            <w:tcW w:w="3118" w:type="dxa"/>
            <w:tcBorders>
              <w:top w:val="single" w:color="auto" w:sz="4" w:space="0"/>
              <w:left w:val="single" w:color="auto" w:sz="4" w:space="0"/>
              <w:bottom w:val="single" w:color="auto" w:sz="4" w:space="0"/>
              <w:right w:val="single" w:color="auto" w:sz="4" w:space="0"/>
            </w:tcBorders>
            <w:vAlign w:val="center"/>
          </w:tcPr>
          <w:p w14:paraId="464D16B0">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r>
              <w:rPr>
                <w:rFonts w:hint="eastAsia" w:ascii="Times New Roman" w:hAnsi="Times New Roman" w:cs="Times New Roman"/>
                <w:b/>
                <w:bCs/>
                <w:kern w:val="2"/>
                <w:sz w:val="21"/>
                <w:szCs w:val="21"/>
              </w:rPr>
              <w:t>评分细则</w:t>
            </w:r>
          </w:p>
        </w:tc>
        <w:tc>
          <w:tcPr>
            <w:tcW w:w="851" w:type="dxa"/>
            <w:tcBorders>
              <w:top w:val="single" w:color="auto" w:sz="4" w:space="0"/>
              <w:left w:val="single" w:color="auto" w:sz="4" w:space="0"/>
              <w:bottom w:val="single" w:color="auto" w:sz="4" w:space="0"/>
              <w:right w:val="single" w:color="auto" w:sz="4" w:space="0"/>
            </w:tcBorders>
            <w:vAlign w:val="center"/>
          </w:tcPr>
          <w:p w14:paraId="539B56B3">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r>
              <w:rPr>
                <w:rFonts w:hint="eastAsia" w:ascii="Times New Roman" w:hAnsi="Times New Roman" w:cs="Times New Roman"/>
                <w:b/>
                <w:bCs/>
                <w:kern w:val="2"/>
                <w:sz w:val="21"/>
                <w:szCs w:val="21"/>
              </w:rPr>
              <w:t>赋分 区间</w:t>
            </w:r>
          </w:p>
        </w:tc>
      </w:tr>
      <w:tr w14:paraId="3A7A0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trPr>
        <w:tc>
          <w:tcPr>
            <w:tcW w:w="738" w:type="dxa"/>
            <w:vMerge w:val="restart"/>
            <w:tcBorders>
              <w:top w:val="single" w:color="auto" w:sz="4" w:space="0"/>
              <w:left w:val="single" w:color="auto" w:sz="4" w:space="0"/>
              <w:right w:val="single" w:color="auto" w:sz="4" w:space="0"/>
            </w:tcBorders>
            <w:vAlign w:val="center"/>
          </w:tcPr>
          <w:p w14:paraId="35CFEE6D">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6CC63ABC">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2AE5685E">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1CE2D198">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10F78202">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05AA9F31">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0414AD4C">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28DBB38B">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3824616E">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6F52593F">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357A9554">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416F6B2C">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431A7BB8">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r>
              <w:rPr>
                <w:rFonts w:ascii="Times New Roman" w:hAnsi="Times New Roman" w:cs="Times New Roman"/>
                <w:b/>
                <w:bCs/>
                <w:kern w:val="2"/>
                <w:sz w:val="21"/>
                <w:szCs w:val="21"/>
              </w:rPr>
              <w:t>品牌基础要素</w:t>
            </w:r>
          </w:p>
          <w:p w14:paraId="1741F1EA">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5C0A54E3">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1148D506">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7D4260E0">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31B3C7E9">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74276F31">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5B3AB268">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7F249FA6">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76AB936D">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3CD213DE">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0C7CCD92">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4714EAC5">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765B4B0C">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36759EE7">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5690E4C4">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6D1B9D79">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519526C6">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5053FD09">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2862A5E2">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003BFDC3">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77A8737A">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59F02BED">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3BB7809D">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231B2E25">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r>
              <w:rPr>
                <w:rFonts w:ascii="Times New Roman" w:hAnsi="Times New Roman" w:cs="Times New Roman"/>
                <w:b/>
                <w:bCs/>
                <w:kern w:val="2"/>
                <w:sz w:val="21"/>
                <w:szCs w:val="21"/>
              </w:rPr>
              <w:t>品牌基础要素</w:t>
            </w:r>
          </w:p>
        </w:tc>
        <w:tc>
          <w:tcPr>
            <w:tcW w:w="709" w:type="dxa"/>
            <w:vMerge w:val="restart"/>
            <w:tcBorders>
              <w:top w:val="single" w:color="auto" w:sz="4" w:space="0"/>
              <w:left w:val="single" w:color="auto" w:sz="4" w:space="0"/>
              <w:right w:val="single" w:color="auto" w:sz="4" w:space="0"/>
            </w:tcBorders>
            <w:vAlign w:val="center"/>
          </w:tcPr>
          <w:p w14:paraId="64C6089F">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18"/>
                <w:szCs w:val="18"/>
              </w:rPr>
            </w:pPr>
            <w:r>
              <w:rPr>
                <w:rFonts w:hint="eastAsia" w:ascii="Times New Roman" w:hAnsi="Times New Roman" w:cs="Times New Roman"/>
                <w:b/>
                <w:bCs/>
                <w:kern w:val="2"/>
                <w:sz w:val="18"/>
                <w:szCs w:val="18"/>
              </w:rPr>
              <w:t>组织共建</w:t>
            </w:r>
          </w:p>
        </w:tc>
        <w:tc>
          <w:tcPr>
            <w:tcW w:w="1417" w:type="dxa"/>
            <w:tcBorders>
              <w:top w:val="single" w:color="auto" w:sz="4" w:space="0"/>
              <w:left w:val="single" w:color="auto" w:sz="4" w:space="0"/>
              <w:bottom w:val="single" w:color="auto" w:sz="4" w:space="0"/>
              <w:right w:val="single" w:color="auto" w:sz="4" w:space="0"/>
            </w:tcBorders>
            <w:vAlign w:val="center"/>
          </w:tcPr>
          <w:p w14:paraId="1C45AB08">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完善组织架构</w:t>
            </w:r>
          </w:p>
        </w:tc>
        <w:tc>
          <w:tcPr>
            <w:tcW w:w="2410" w:type="dxa"/>
            <w:tcBorders>
              <w:top w:val="single" w:color="auto" w:sz="4" w:space="0"/>
              <w:left w:val="single" w:color="auto" w:sz="4" w:space="0"/>
              <w:right w:val="single" w:color="auto" w:sz="4" w:space="0"/>
            </w:tcBorders>
            <w:vAlign w:val="center"/>
          </w:tcPr>
          <w:p w14:paraId="37BF21A1">
            <w:pPr>
              <w:pStyle w:val="6"/>
              <w:tabs>
                <w:tab w:val="center" w:pos="4201"/>
                <w:tab w:val="right" w:leader="dot" w:pos="9298"/>
              </w:tabs>
              <w:autoSpaceDE w:val="0"/>
              <w:autoSpaceDN w:val="0"/>
              <w:adjustRightInd w:val="0"/>
              <w:snapToGrid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是否成立片区联合议事机构；其组织架构完善程度；是否成立强团公司。</w:t>
            </w:r>
          </w:p>
        </w:tc>
        <w:tc>
          <w:tcPr>
            <w:tcW w:w="3118" w:type="dxa"/>
            <w:tcBorders>
              <w:top w:val="single" w:color="auto" w:sz="4" w:space="0"/>
              <w:left w:val="single" w:color="auto" w:sz="4" w:space="0"/>
              <w:right w:val="single" w:color="auto" w:sz="4" w:space="0"/>
            </w:tcBorders>
          </w:tcPr>
          <w:p w14:paraId="2D865DCA">
            <w:pPr>
              <w:pStyle w:val="6"/>
              <w:tabs>
                <w:tab w:val="center" w:pos="4201"/>
                <w:tab w:val="right" w:leader="dot" w:pos="9298"/>
              </w:tabs>
              <w:autoSpaceDE w:val="0"/>
              <w:autoSpaceDN w:val="0"/>
              <w:adjustRightInd w:val="0"/>
              <w:snapToGrid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3分：议事机构和强团公司均有，组织架构完整；</w:t>
            </w:r>
          </w:p>
          <w:p w14:paraId="52975528">
            <w:pPr>
              <w:pStyle w:val="6"/>
              <w:tabs>
                <w:tab w:val="center" w:pos="4201"/>
                <w:tab w:val="right" w:leader="dot" w:pos="9298"/>
              </w:tabs>
              <w:autoSpaceDE w:val="0"/>
              <w:autoSpaceDN w:val="0"/>
              <w:adjustRightInd w:val="0"/>
              <w:snapToGrid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2分：议事机构和强团公司有一，组织架构较完整；</w:t>
            </w:r>
          </w:p>
          <w:p w14:paraId="22130140">
            <w:pPr>
              <w:pStyle w:val="6"/>
              <w:tabs>
                <w:tab w:val="center" w:pos="4201"/>
                <w:tab w:val="right" w:leader="dot" w:pos="9298"/>
              </w:tabs>
              <w:autoSpaceDE w:val="0"/>
              <w:autoSpaceDN w:val="0"/>
              <w:adjustRightInd w:val="0"/>
              <w:snapToGrid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1分：有非正式的决策组织或运营机构，组织人员构成临时松散；</w:t>
            </w:r>
          </w:p>
          <w:p w14:paraId="5364DF47">
            <w:pPr>
              <w:pStyle w:val="6"/>
              <w:tabs>
                <w:tab w:val="center" w:pos="4201"/>
                <w:tab w:val="right" w:leader="dot" w:pos="9298"/>
              </w:tabs>
              <w:autoSpaceDE w:val="0"/>
              <w:autoSpaceDN w:val="0"/>
              <w:adjustRightInd w:val="0"/>
              <w:snapToGrid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0分：上述均无。</w:t>
            </w:r>
          </w:p>
        </w:tc>
        <w:tc>
          <w:tcPr>
            <w:tcW w:w="851" w:type="dxa"/>
            <w:tcBorders>
              <w:top w:val="single" w:color="auto" w:sz="4" w:space="0"/>
              <w:left w:val="single" w:color="auto" w:sz="4" w:space="0"/>
              <w:right w:val="single" w:color="auto" w:sz="4" w:space="0"/>
            </w:tcBorders>
            <w:vAlign w:val="center"/>
          </w:tcPr>
          <w:p w14:paraId="5D4B8D83">
            <w:pPr>
              <w:pStyle w:val="6"/>
              <w:tabs>
                <w:tab w:val="center" w:pos="4201"/>
                <w:tab w:val="right" w:leader="dot" w:pos="9298"/>
              </w:tabs>
              <w:autoSpaceDE w:val="0"/>
              <w:autoSpaceDN w:val="0"/>
              <w:adjustRightInd w:val="0"/>
              <w:snapToGrid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【0-3】</w:t>
            </w:r>
          </w:p>
        </w:tc>
      </w:tr>
      <w:tr w14:paraId="65999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738" w:type="dxa"/>
            <w:vMerge w:val="continue"/>
            <w:tcBorders>
              <w:left w:val="single" w:color="auto" w:sz="4" w:space="0"/>
              <w:right w:val="single" w:color="auto" w:sz="4" w:space="0"/>
            </w:tcBorders>
            <w:vAlign w:val="center"/>
          </w:tcPr>
          <w:p w14:paraId="75991199">
            <w:pPr>
              <w:spacing w:line="240" w:lineRule="auto"/>
              <w:jc w:val="center"/>
              <w:rPr>
                <w:rFonts w:ascii="Times New Roman" w:hAnsi="Times New Roman"/>
                <w:sz w:val="18"/>
                <w:szCs w:val="18"/>
              </w:rPr>
            </w:pPr>
          </w:p>
        </w:tc>
        <w:tc>
          <w:tcPr>
            <w:tcW w:w="709" w:type="dxa"/>
            <w:vMerge w:val="continue"/>
            <w:tcBorders>
              <w:left w:val="single" w:color="auto" w:sz="4" w:space="0"/>
              <w:right w:val="single" w:color="auto" w:sz="4" w:space="0"/>
            </w:tcBorders>
            <w:vAlign w:val="center"/>
          </w:tcPr>
          <w:p w14:paraId="0C4502F6">
            <w:pPr>
              <w:spacing w:line="240" w:lineRule="auto"/>
              <w:jc w:val="center"/>
              <w:rPr>
                <w:rFonts w:ascii="Times New Roman" w:hAnsi="Times New Roman"/>
                <w:b/>
                <w:bCs/>
                <w:sz w:val="18"/>
                <w:szCs w:val="18"/>
              </w:rPr>
            </w:pPr>
          </w:p>
        </w:tc>
        <w:tc>
          <w:tcPr>
            <w:tcW w:w="1417" w:type="dxa"/>
            <w:tcBorders>
              <w:top w:val="single" w:color="auto" w:sz="4" w:space="0"/>
              <w:left w:val="single" w:color="auto" w:sz="4" w:space="0"/>
              <w:bottom w:val="single" w:color="auto" w:sz="4" w:space="0"/>
              <w:right w:val="single" w:color="auto" w:sz="4" w:space="0"/>
            </w:tcBorders>
            <w:vAlign w:val="center"/>
          </w:tcPr>
          <w:p w14:paraId="4E8F4BE4">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优化成员构成</w:t>
            </w:r>
          </w:p>
        </w:tc>
        <w:tc>
          <w:tcPr>
            <w:tcW w:w="2410" w:type="dxa"/>
            <w:tcBorders>
              <w:left w:val="single" w:color="auto" w:sz="4" w:space="0"/>
              <w:bottom w:val="single" w:color="auto" w:sz="4" w:space="0"/>
              <w:right w:val="single" w:color="auto" w:sz="4" w:space="0"/>
            </w:tcBorders>
            <w:vAlign w:val="center"/>
          </w:tcPr>
          <w:p w14:paraId="6A5F5054">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片区联合议事机构和强团公司的成员构成情况；职能分工情况；与上级组织的对接情况。</w:t>
            </w:r>
          </w:p>
        </w:tc>
        <w:tc>
          <w:tcPr>
            <w:tcW w:w="3118" w:type="dxa"/>
            <w:tcBorders>
              <w:left w:val="single" w:color="auto" w:sz="4" w:space="0"/>
              <w:bottom w:val="single" w:color="auto" w:sz="4" w:space="0"/>
              <w:right w:val="single" w:color="auto" w:sz="4" w:space="0"/>
            </w:tcBorders>
          </w:tcPr>
          <w:p w14:paraId="62D2CD12">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3分：组织成员构成多样，充分考虑各方利益，职能分工明确，与上级部门对接顺畅高效；</w:t>
            </w:r>
          </w:p>
          <w:p w14:paraId="46EB8C2A">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0-2分：</w:t>
            </w:r>
            <w:r>
              <w:rPr>
                <w:rFonts w:hint="eastAsia" w:ascii="Times New Roman" w:hAnsi="Times New Roman"/>
                <w:sz w:val="18"/>
                <w:szCs w:val="18"/>
              </w:rPr>
              <w:t>根据评价对象在</w:t>
            </w:r>
            <w:r>
              <w:rPr>
                <w:rFonts w:hint="eastAsia" w:ascii="Times New Roman" w:hAnsi="Times New Roman" w:cs="Times New Roman"/>
                <w:kern w:val="2"/>
                <w:sz w:val="18"/>
                <w:szCs w:val="18"/>
              </w:rPr>
              <w:t>上述指标的表现，按较好、一般、较差，分别给予2分、1分、0分。</w:t>
            </w:r>
          </w:p>
        </w:tc>
        <w:tc>
          <w:tcPr>
            <w:tcW w:w="851" w:type="dxa"/>
            <w:tcBorders>
              <w:left w:val="single" w:color="auto" w:sz="4" w:space="0"/>
              <w:bottom w:val="single" w:color="auto" w:sz="4" w:space="0"/>
              <w:right w:val="single" w:color="auto" w:sz="4" w:space="0"/>
            </w:tcBorders>
            <w:vAlign w:val="center"/>
          </w:tcPr>
          <w:p w14:paraId="0511F50E">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【0-3】</w:t>
            </w:r>
          </w:p>
        </w:tc>
      </w:tr>
      <w:tr w14:paraId="22A56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atLeast"/>
        </w:trPr>
        <w:tc>
          <w:tcPr>
            <w:tcW w:w="738" w:type="dxa"/>
            <w:vMerge w:val="continue"/>
            <w:tcBorders>
              <w:left w:val="single" w:color="auto" w:sz="4" w:space="0"/>
              <w:right w:val="single" w:color="auto" w:sz="4" w:space="0"/>
            </w:tcBorders>
            <w:vAlign w:val="center"/>
          </w:tcPr>
          <w:p w14:paraId="4FA6D4A8">
            <w:pPr>
              <w:spacing w:line="240" w:lineRule="auto"/>
              <w:jc w:val="center"/>
              <w:rPr>
                <w:rFonts w:ascii="Times New Roman" w:hAnsi="Times New Roman"/>
                <w:sz w:val="18"/>
                <w:szCs w:val="18"/>
              </w:rPr>
            </w:pPr>
          </w:p>
        </w:tc>
        <w:tc>
          <w:tcPr>
            <w:tcW w:w="709" w:type="dxa"/>
            <w:vMerge w:val="continue"/>
            <w:tcBorders>
              <w:left w:val="single" w:color="auto" w:sz="4" w:space="0"/>
              <w:right w:val="single" w:color="auto" w:sz="4" w:space="0"/>
            </w:tcBorders>
            <w:vAlign w:val="center"/>
          </w:tcPr>
          <w:p w14:paraId="4E391835">
            <w:pPr>
              <w:spacing w:line="240" w:lineRule="auto"/>
              <w:jc w:val="center"/>
              <w:rPr>
                <w:rFonts w:ascii="Times New Roman" w:hAnsi="Times New Roman"/>
                <w:b/>
                <w:bCs/>
                <w:sz w:val="18"/>
                <w:szCs w:val="18"/>
              </w:rPr>
            </w:pPr>
          </w:p>
        </w:tc>
        <w:tc>
          <w:tcPr>
            <w:tcW w:w="1417" w:type="dxa"/>
            <w:tcBorders>
              <w:top w:val="single" w:color="auto" w:sz="4" w:space="0"/>
              <w:left w:val="single" w:color="auto" w:sz="4" w:space="0"/>
              <w:bottom w:val="single" w:color="auto" w:sz="4" w:space="0"/>
              <w:right w:val="single" w:color="auto" w:sz="4" w:space="0"/>
            </w:tcBorders>
            <w:vAlign w:val="center"/>
          </w:tcPr>
          <w:p w14:paraId="7F6287A9">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制定制度章程</w:t>
            </w:r>
          </w:p>
        </w:tc>
        <w:tc>
          <w:tcPr>
            <w:tcW w:w="2410" w:type="dxa"/>
            <w:tcBorders>
              <w:top w:val="single" w:color="auto" w:sz="4" w:space="0"/>
              <w:left w:val="single" w:color="auto" w:sz="4" w:space="0"/>
              <w:bottom w:val="single" w:color="auto" w:sz="4" w:space="0"/>
              <w:right w:val="single" w:color="auto" w:sz="4" w:space="0"/>
            </w:tcBorders>
            <w:vAlign w:val="center"/>
          </w:tcPr>
          <w:p w14:paraId="01FB5981">
            <w:pPr>
              <w:widowControl/>
              <w:tabs>
                <w:tab w:val="center" w:pos="4201"/>
                <w:tab w:val="right" w:leader="dot" w:pos="9298"/>
              </w:tabs>
              <w:autoSpaceDE w:val="0"/>
              <w:autoSpaceDN w:val="0"/>
              <w:spacing w:line="240" w:lineRule="auto"/>
              <w:rPr>
                <w:rFonts w:ascii="Times New Roman" w:hAnsi="Times New Roman"/>
                <w:sz w:val="18"/>
                <w:szCs w:val="18"/>
              </w:rPr>
            </w:pPr>
            <w:r>
              <w:rPr>
                <w:rFonts w:hint="eastAsia" w:ascii="Times New Roman" w:hAnsi="Times New Roman"/>
                <w:sz w:val="18"/>
                <w:szCs w:val="18"/>
              </w:rPr>
              <w:t>联合议事机构的管理办法、章程及日常议事的台账；强团公司的管理办法、章程及日常运营管理的台账。</w:t>
            </w:r>
          </w:p>
        </w:tc>
        <w:tc>
          <w:tcPr>
            <w:tcW w:w="3118" w:type="dxa"/>
            <w:tcBorders>
              <w:top w:val="single" w:color="auto" w:sz="4" w:space="0"/>
              <w:left w:val="single" w:color="auto" w:sz="4" w:space="0"/>
              <w:bottom w:val="single" w:color="auto" w:sz="4" w:space="0"/>
              <w:right w:val="single" w:color="auto" w:sz="4" w:space="0"/>
            </w:tcBorders>
          </w:tcPr>
          <w:p w14:paraId="71A2E8B2">
            <w:pPr>
              <w:widowControl/>
              <w:tabs>
                <w:tab w:val="center" w:pos="4201"/>
                <w:tab w:val="right" w:leader="dot" w:pos="9298"/>
              </w:tabs>
              <w:autoSpaceDE w:val="0"/>
              <w:autoSpaceDN w:val="0"/>
              <w:spacing w:line="240" w:lineRule="auto"/>
              <w:rPr>
                <w:rFonts w:ascii="Times New Roman" w:hAnsi="Times New Roman"/>
                <w:sz w:val="18"/>
                <w:szCs w:val="18"/>
              </w:rPr>
            </w:pPr>
            <w:r>
              <w:rPr>
                <w:rFonts w:hint="eastAsia" w:ascii="Times New Roman" w:hAnsi="Times New Roman"/>
                <w:sz w:val="18"/>
                <w:szCs w:val="18"/>
              </w:rPr>
              <w:t>4分：联合议事机构和强团公司均有相应的管理办法和章程；日常议事与运营管理台账完整清晰；</w:t>
            </w:r>
          </w:p>
          <w:p w14:paraId="52A1C450">
            <w:pPr>
              <w:widowControl/>
              <w:tabs>
                <w:tab w:val="center" w:pos="4201"/>
                <w:tab w:val="right" w:leader="dot" w:pos="9298"/>
              </w:tabs>
              <w:autoSpaceDE w:val="0"/>
              <w:autoSpaceDN w:val="0"/>
              <w:spacing w:line="240" w:lineRule="auto"/>
              <w:rPr>
                <w:rFonts w:ascii="Times New Roman" w:hAnsi="Times New Roman"/>
                <w:sz w:val="18"/>
                <w:szCs w:val="18"/>
              </w:rPr>
            </w:pPr>
            <w:r>
              <w:rPr>
                <w:rFonts w:hint="eastAsia" w:ascii="Times New Roman" w:hAnsi="Times New Roman"/>
                <w:sz w:val="18"/>
                <w:szCs w:val="18"/>
              </w:rPr>
              <w:t>0-3分：上述指标按资料部分拥有程度、运营管理效率评价高低，分别给予3分、2分、1分、0分。</w:t>
            </w:r>
          </w:p>
        </w:tc>
        <w:tc>
          <w:tcPr>
            <w:tcW w:w="851" w:type="dxa"/>
            <w:tcBorders>
              <w:top w:val="single" w:color="auto" w:sz="4" w:space="0"/>
              <w:left w:val="single" w:color="auto" w:sz="4" w:space="0"/>
              <w:bottom w:val="single" w:color="auto" w:sz="4" w:space="0"/>
              <w:right w:val="single" w:color="auto" w:sz="4" w:space="0"/>
            </w:tcBorders>
            <w:vAlign w:val="center"/>
          </w:tcPr>
          <w:p w14:paraId="2B31EE90">
            <w:pPr>
              <w:widowControl/>
              <w:tabs>
                <w:tab w:val="center" w:pos="4201"/>
                <w:tab w:val="right" w:leader="dot" w:pos="9298"/>
              </w:tabs>
              <w:autoSpaceDE w:val="0"/>
              <w:autoSpaceDN w:val="0"/>
              <w:spacing w:line="240" w:lineRule="auto"/>
              <w:rPr>
                <w:rFonts w:ascii="Times New Roman" w:hAnsi="Times New Roman"/>
                <w:sz w:val="18"/>
                <w:szCs w:val="18"/>
              </w:rPr>
            </w:pPr>
            <w:r>
              <w:rPr>
                <w:rFonts w:hint="eastAsia" w:ascii="Times New Roman" w:hAnsi="Times New Roman"/>
                <w:sz w:val="18"/>
                <w:szCs w:val="18"/>
              </w:rPr>
              <w:t>【0-4】</w:t>
            </w:r>
          </w:p>
        </w:tc>
      </w:tr>
      <w:tr w14:paraId="3722D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738" w:type="dxa"/>
            <w:vMerge w:val="continue"/>
            <w:tcBorders>
              <w:left w:val="single" w:color="auto" w:sz="4" w:space="0"/>
              <w:right w:val="single" w:color="auto" w:sz="4" w:space="0"/>
            </w:tcBorders>
            <w:vAlign w:val="center"/>
          </w:tcPr>
          <w:p w14:paraId="3F7E8750">
            <w:pPr>
              <w:spacing w:line="240" w:lineRule="auto"/>
              <w:jc w:val="center"/>
              <w:rPr>
                <w:rFonts w:ascii="Times New Roman" w:hAnsi="Times New Roman"/>
                <w:sz w:val="18"/>
                <w:szCs w:val="18"/>
              </w:rPr>
            </w:pPr>
          </w:p>
        </w:tc>
        <w:tc>
          <w:tcPr>
            <w:tcW w:w="709" w:type="dxa"/>
            <w:vMerge w:val="restart"/>
            <w:tcBorders>
              <w:top w:val="single" w:color="auto" w:sz="4" w:space="0"/>
              <w:left w:val="single" w:color="auto" w:sz="4" w:space="0"/>
              <w:right w:val="single" w:color="auto" w:sz="4" w:space="0"/>
            </w:tcBorders>
            <w:vAlign w:val="center"/>
          </w:tcPr>
          <w:p w14:paraId="7419CFB1">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18"/>
                <w:szCs w:val="18"/>
              </w:rPr>
            </w:pPr>
            <w:r>
              <w:rPr>
                <w:rFonts w:hint="eastAsia" w:ascii="Times New Roman" w:hAnsi="Times New Roman" w:cs="Times New Roman"/>
                <w:b/>
                <w:bCs/>
                <w:kern w:val="2"/>
                <w:sz w:val="18"/>
                <w:szCs w:val="18"/>
              </w:rPr>
              <w:t>生态共护</w:t>
            </w:r>
          </w:p>
        </w:tc>
        <w:tc>
          <w:tcPr>
            <w:tcW w:w="1417" w:type="dxa"/>
            <w:tcBorders>
              <w:top w:val="single" w:color="auto" w:sz="4" w:space="0"/>
              <w:left w:val="single" w:color="auto" w:sz="4" w:space="0"/>
              <w:bottom w:val="single" w:color="auto" w:sz="4" w:space="0"/>
              <w:right w:val="single" w:color="auto" w:sz="4" w:space="0"/>
            </w:tcBorders>
            <w:vAlign w:val="center"/>
          </w:tcPr>
          <w:p w14:paraId="1D41AC05">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严守生态政策</w:t>
            </w:r>
          </w:p>
        </w:tc>
        <w:tc>
          <w:tcPr>
            <w:tcW w:w="2410" w:type="dxa"/>
            <w:tcBorders>
              <w:top w:val="single" w:color="auto" w:sz="4" w:space="0"/>
              <w:left w:val="single" w:color="auto" w:sz="4" w:space="0"/>
              <w:right w:val="single" w:color="auto" w:sz="4" w:space="0"/>
            </w:tcBorders>
            <w:vAlign w:val="center"/>
          </w:tcPr>
          <w:p w14:paraId="7B70F2E3">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严格遵守国家、省市出台的生态环保政策和规章要求，无违法违规行为。</w:t>
            </w:r>
          </w:p>
        </w:tc>
        <w:tc>
          <w:tcPr>
            <w:tcW w:w="3118" w:type="dxa"/>
            <w:tcBorders>
              <w:top w:val="single" w:color="auto" w:sz="4" w:space="0"/>
              <w:left w:val="single" w:color="auto" w:sz="4" w:space="0"/>
              <w:right w:val="single" w:color="auto" w:sz="4" w:space="0"/>
            </w:tcBorders>
          </w:tcPr>
          <w:p w14:paraId="521224EB">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2分：近三年无违反生态政策的行为；</w:t>
            </w:r>
          </w:p>
          <w:p w14:paraId="2E87A7E4">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0分：近三年有违反生态政策的行为。</w:t>
            </w:r>
          </w:p>
        </w:tc>
        <w:tc>
          <w:tcPr>
            <w:tcW w:w="851" w:type="dxa"/>
            <w:tcBorders>
              <w:top w:val="single" w:color="auto" w:sz="4" w:space="0"/>
              <w:left w:val="single" w:color="auto" w:sz="4" w:space="0"/>
              <w:right w:val="single" w:color="auto" w:sz="4" w:space="0"/>
            </w:tcBorders>
            <w:vAlign w:val="center"/>
          </w:tcPr>
          <w:p w14:paraId="680F8929">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【0-2】</w:t>
            </w:r>
          </w:p>
        </w:tc>
      </w:tr>
      <w:tr w14:paraId="26225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trPr>
        <w:tc>
          <w:tcPr>
            <w:tcW w:w="738" w:type="dxa"/>
            <w:vMerge w:val="continue"/>
            <w:tcBorders>
              <w:left w:val="single" w:color="auto" w:sz="4" w:space="0"/>
              <w:right w:val="single" w:color="auto" w:sz="4" w:space="0"/>
            </w:tcBorders>
            <w:vAlign w:val="center"/>
          </w:tcPr>
          <w:p w14:paraId="4F53A883">
            <w:pPr>
              <w:spacing w:line="240" w:lineRule="auto"/>
              <w:jc w:val="center"/>
              <w:rPr>
                <w:rFonts w:ascii="Times New Roman" w:hAnsi="Times New Roman"/>
                <w:sz w:val="18"/>
                <w:szCs w:val="18"/>
              </w:rPr>
            </w:pPr>
          </w:p>
        </w:tc>
        <w:tc>
          <w:tcPr>
            <w:tcW w:w="709" w:type="dxa"/>
            <w:vMerge w:val="continue"/>
            <w:tcBorders>
              <w:left w:val="single" w:color="auto" w:sz="4" w:space="0"/>
              <w:right w:val="single" w:color="auto" w:sz="4" w:space="0"/>
            </w:tcBorders>
            <w:vAlign w:val="center"/>
          </w:tcPr>
          <w:p w14:paraId="577489CC">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18"/>
                <w:szCs w:val="18"/>
              </w:rPr>
            </w:pPr>
          </w:p>
        </w:tc>
        <w:tc>
          <w:tcPr>
            <w:tcW w:w="1417" w:type="dxa"/>
            <w:tcBorders>
              <w:top w:val="single" w:color="auto" w:sz="4" w:space="0"/>
              <w:left w:val="single" w:color="auto" w:sz="4" w:space="0"/>
              <w:bottom w:val="single" w:color="auto" w:sz="4" w:space="0"/>
              <w:right w:val="single" w:color="auto" w:sz="4" w:space="0"/>
            </w:tcBorders>
            <w:vAlign w:val="center"/>
          </w:tcPr>
          <w:p w14:paraId="2CD739A4">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整治生态环境</w:t>
            </w:r>
          </w:p>
        </w:tc>
        <w:tc>
          <w:tcPr>
            <w:tcW w:w="2410" w:type="dxa"/>
            <w:tcBorders>
              <w:top w:val="single" w:color="auto" w:sz="4" w:space="0"/>
              <w:left w:val="single" w:color="auto" w:sz="4" w:space="0"/>
              <w:right w:val="single" w:color="auto" w:sz="4" w:space="0"/>
            </w:tcBorders>
            <w:vAlign w:val="center"/>
          </w:tcPr>
          <w:p w14:paraId="57CB1CF2">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保护、修复片区内生态环境；整治片区内人居环境；尊重村容村貌和谐度与个性化。</w:t>
            </w:r>
          </w:p>
        </w:tc>
        <w:tc>
          <w:tcPr>
            <w:tcW w:w="3118" w:type="dxa"/>
            <w:tcBorders>
              <w:top w:val="single" w:color="auto" w:sz="4" w:space="0"/>
              <w:left w:val="single" w:color="auto" w:sz="4" w:space="0"/>
              <w:right w:val="single" w:color="auto" w:sz="4" w:space="0"/>
            </w:tcBorders>
          </w:tcPr>
          <w:p w14:paraId="496A16B2">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2分：注重保护片区生态环境，对历史遗留生态问题积极修复；整治人居环境；片区村容村貌和谐且保留个性化特征；</w:t>
            </w:r>
          </w:p>
          <w:p w14:paraId="3D3B6952">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0-1分：上述指标根据评价对象的行为和效果，按一般、较差，分别给予1分、0分。</w:t>
            </w:r>
          </w:p>
        </w:tc>
        <w:tc>
          <w:tcPr>
            <w:tcW w:w="851" w:type="dxa"/>
            <w:tcBorders>
              <w:top w:val="single" w:color="auto" w:sz="4" w:space="0"/>
              <w:left w:val="single" w:color="auto" w:sz="4" w:space="0"/>
              <w:right w:val="single" w:color="auto" w:sz="4" w:space="0"/>
            </w:tcBorders>
            <w:vAlign w:val="center"/>
          </w:tcPr>
          <w:p w14:paraId="2BB53470">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【0-2】</w:t>
            </w:r>
          </w:p>
        </w:tc>
      </w:tr>
      <w:tr w14:paraId="574C8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4" w:hRule="atLeast"/>
        </w:trPr>
        <w:tc>
          <w:tcPr>
            <w:tcW w:w="738" w:type="dxa"/>
            <w:vMerge w:val="continue"/>
            <w:tcBorders>
              <w:left w:val="single" w:color="auto" w:sz="4" w:space="0"/>
              <w:right w:val="single" w:color="auto" w:sz="4" w:space="0"/>
            </w:tcBorders>
            <w:vAlign w:val="center"/>
          </w:tcPr>
          <w:p w14:paraId="0F7C5FDF">
            <w:pPr>
              <w:spacing w:line="240" w:lineRule="auto"/>
              <w:jc w:val="center"/>
              <w:rPr>
                <w:rFonts w:ascii="Times New Roman" w:hAnsi="Times New Roman"/>
                <w:sz w:val="18"/>
                <w:szCs w:val="18"/>
              </w:rPr>
            </w:pPr>
          </w:p>
        </w:tc>
        <w:tc>
          <w:tcPr>
            <w:tcW w:w="709" w:type="dxa"/>
            <w:vMerge w:val="continue"/>
            <w:tcBorders>
              <w:left w:val="single" w:color="auto" w:sz="4" w:space="0"/>
              <w:right w:val="single" w:color="auto" w:sz="4" w:space="0"/>
            </w:tcBorders>
            <w:vAlign w:val="center"/>
          </w:tcPr>
          <w:p w14:paraId="3176A0E4">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18"/>
                <w:szCs w:val="18"/>
              </w:rPr>
            </w:pPr>
          </w:p>
        </w:tc>
        <w:tc>
          <w:tcPr>
            <w:tcW w:w="1417" w:type="dxa"/>
            <w:tcBorders>
              <w:top w:val="single" w:color="auto" w:sz="4" w:space="0"/>
              <w:left w:val="single" w:color="auto" w:sz="4" w:space="0"/>
              <w:bottom w:val="single" w:color="auto" w:sz="4" w:space="0"/>
              <w:right w:val="single" w:color="auto" w:sz="4" w:space="0"/>
            </w:tcBorders>
            <w:vAlign w:val="center"/>
          </w:tcPr>
          <w:p w14:paraId="2F070B1E">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入驻生态组织</w:t>
            </w:r>
          </w:p>
        </w:tc>
        <w:tc>
          <w:tcPr>
            <w:tcW w:w="2410" w:type="dxa"/>
            <w:tcBorders>
              <w:top w:val="single" w:color="auto" w:sz="4" w:space="0"/>
              <w:left w:val="single" w:color="auto" w:sz="4" w:space="0"/>
              <w:right w:val="single" w:color="auto" w:sz="4" w:space="0"/>
            </w:tcBorders>
            <w:vAlign w:val="center"/>
          </w:tcPr>
          <w:p w14:paraId="3C4251E5">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是否有生态或动植物保护相关的非政府组织（</w:t>
            </w:r>
            <w:r>
              <w:rPr>
                <w:rFonts w:ascii="Times New Roman" w:hAnsi="Times New Roman" w:cs="Times New Roman"/>
                <w:kern w:val="2"/>
                <w:sz w:val="18"/>
                <w:szCs w:val="18"/>
              </w:rPr>
              <w:t>NGO</w:t>
            </w:r>
            <w:r>
              <w:rPr>
                <w:rFonts w:hint="eastAsia" w:ascii="Times New Roman" w:hAnsi="Times New Roman" w:cs="Times New Roman"/>
                <w:kern w:val="2"/>
                <w:sz w:val="18"/>
                <w:szCs w:val="18"/>
              </w:rPr>
              <w:t>）入驻。</w:t>
            </w:r>
          </w:p>
        </w:tc>
        <w:tc>
          <w:tcPr>
            <w:tcW w:w="3118" w:type="dxa"/>
            <w:tcBorders>
              <w:top w:val="single" w:color="auto" w:sz="4" w:space="0"/>
              <w:left w:val="single" w:color="auto" w:sz="4" w:space="0"/>
              <w:right w:val="single" w:color="auto" w:sz="4" w:space="0"/>
            </w:tcBorders>
          </w:tcPr>
          <w:p w14:paraId="7C4E6859">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2分：有世界自然基金、国际自然保护联盟、中华环保联合会、自然之友等；</w:t>
            </w:r>
          </w:p>
          <w:p w14:paraId="74304AD7">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0-1分：有其他地区性的生态或动植物保护组织，给1分；没有，则给0分。</w:t>
            </w:r>
          </w:p>
        </w:tc>
        <w:tc>
          <w:tcPr>
            <w:tcW w:w="851" w:type="dxa"/>
            <w:tcBorders>
              <w:top w:val="single" w:color="auto" w:sz="4" w:space="0"/>
              <w:left w:val="single" w:color="auto" w:sz="4" w:space="0"/>
              <w:right w:val="single" w:color="auto" w:sz="4" w:space="0"/>
            </w:tcBorders>
            <w:vAlign w:val="center"/>
          </w:tcPr>
          <w:p w14:paraId="3C114374">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【0-2】</w:t>
            </w:r>
          </w:p>
        </w:tc>
      </w:tr>
      <w:tr w14:paraId="2FEC2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4" w:hRule="atLeast"/>
        </w:trPr>
        <w:tc>
          <w:tcPr>
            <w:tcW w:w="738" w:type="dxa"/>
            <w:vMerge w:val="continue"/>
            <w:tcBorders>
              <w:left w:val="single" w:color="auto" w:sz="4" w:space="0"/>
              <w:right w:val="single" w:color="auto" w:sz="4" w:space="0"/>
            </w:tcBorders>
            <w:vAlign w:val="center"/>
          </w:tcPr>
          <w:p w14:paraId="6B5B46AD">
            <w:pPr>
              <w:spacing w:line="240" w:lineRule="auto"/>
              <w:jc w:val="center"/>
              <w:rPr>
                <w:rFonts w:ascii="Times New Roman" w:hAnsi="Times New Roman"/>
                <w:sz w:val="18"/>
                <w:szCs w:val="18"/>
              </w:rPr>
            </w:pPr>
          </w:p>
        </w:tc>
        <w:tc>
          <w:tcPr>
            <w:tcW w:w="709" w:type="dxa"/>
            <w:vMerge w:val="continue"/>
            <w:tcBorders>
              <w:left w:val="single" w:color="auto" w:sz="4" w:space="0"/>
              <w:right w:val="single" w:color="auto" w:sz="4" w:space="0"/>
            </w:tcBorders>
            <w:vAlign w:val="center"/>
          </w:tcPr>
          <w:p w14:paraId="27B35894">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18"/>
                <w:szCs w:val="18"/>
              </w:rPr>
            </w:pPr>
          </w:p>
        </w:tc>
        <w:tc>
          <w:tcPr>
            <w:tcW w:w="1417" w:type="dxa"/>
            <w:tcBorders>
              <w:top w:val="single" w:color="auto" w:sz="4" w:space="0"/>
              <w:left w:val="single" w:color="auto" w:sz="4" w:space="0"/>
              <w:bottom w:val="single" w:color="auto" w:sz="4" w:space="0"/>
              <w:right w:val="single" w:color="auto" w:sz="4" w:space="0"/>
            </w:tcBorders>
            <w:vAlign w:val="center"/>
          </w:tcPr>
          <w:p w14:paraId="2659F7AA">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培育生态产业</w:t>
            </w:r>
          </w:p>
        </w:tc>
        <w:tc>
          <w:tcPr>
            <w:tcW w:w="2410" w:type="dxa"/>
            <w:tcBorders>
              <w:top w:val="single" w:color="auto" w:sz="4" w:space="0"/>
              <w:left w:val="single" w:color="auto" w:sz="4" w:space="0"/>
              <w:right w:val="single" w:color="auto" w:sz="4" w:space="0"/>
            </w:tcBorders>
            <w:vAlign w:val="center"/>
          </w:tcPr>
          <w:p w14:paraId="647EFCB0">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片区内产业发展遵循绿色、生态、低碳、循环发展要求；在生态红线约束条件下，创新生态资源转化路径。</w:t>
            </w:r>
          </w:p>
        </w:tc>
        <w:tc>
          <w:tcPr>
            <w:tcW w:w="3118" w:type="dxa"/>
            <w:tcBorders>
              <w:top w:val="single" w:color="auto" w:sz="4" w:space="0"/>
              <w:left w:val="single" w:color="auto" w:sz="4" w:space="0"/>
              <w:right w:val="single" w:color="auto" w:sz="4" w:space="0"/>
            </w:tcBorders>
          </w:tcPr>
          <w:p w14:paraId="43E8D7F6">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4分：片区内产业发展严格遵循绿色、生态、低碳、循环发展要求；在生态保护中创新发展模式；</w:t>
            </w:r>
          </w:p>
          <w:p w14:paraId="76B0D429">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0-3分：上述指标根据评价对象对生态理念的贯彻执行程度、生态资源转化市场价值的效果，按较好偏上、较好、一般、较差，分别给予3分、2分、1分、0分。</w:t>
            </w:r>
          </w:p>
        </w:tc>
        <w:tc>
          <w:tcPr>
            <w:tcW w:w="851" w:type="dxa"/>
            <w:tcBorders>
              <w:top w:val="single" w:color="auto" w:sz="4" w:space="0"/>
              <w:left w:val="single" w:color="auto" w:sz="4" w:space="0"/>
              <w:right w:val="single" w:color="auto" w:sz="4" w:space="0"/>
            </w:tcBorders>
            <w:vAlign w:val="center"/>
          </w:tcPr>
          <w:p w14:paraId="78C81C22">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【0-4】</w:t>
            </w:r>
          </w:p>
        </w:tc>
      </w:tr>
      <w:tr w14:paraId="26759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trPr>
        <w:tc>
          <w:tcPr>
            <w:tcW w:w="738" w:type="dxa"/>
            <w:vMerge w:val="continue"/>
            <w:tcBorders>
              <w:left w:val="single" w:color="auto" w:sz="4" w:space="0"/>
              <w:right w:val="single" w:color="auto" w:sz="4" w:space="0"/>
            </w:tcBorders>
            <w:vAlign w:val="center"/>
          </w:tcPr>
          <w:p w14:paraId="2E40B5CC">
            <w:pPr>
              <w:spacing w:line="240" w:lineRule="auto"/>
              <w:jc w:val="center"/>
              <w:rPr>
                <w:rFonts w:ascii="Times New Roman" w:hAnsi="Times New Roman"/>
                <w:sz w:val="18"/>
                <w:szCs w:val="18"/>
              </w:rPr>
            </w:pPr>
          </w:p>
        </w:tc>
        <w:tc>
          <w:tcPr>
            <w:tcW w:w="709" w:type="dxa"/>
            <w:vMerge w:val="restart"/>
            <w:tcBorders>
              <w:left w:val="single" w:color="auto" w:sz="4" w:space="0"/>
              <w:right w:val="single" w:color="auto" w:sz="4" w:space="0"/>
            </w:tcBorders>
            <w:vAlign w:val="center"/>
          </w:tcPr>
          <w:p w14:paraId="038B2A7B">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18"/>
                <w:szCs w:val="18"/>
              </w:rPr>
            </w:pPr>
            <w:r>
              <w:rPr>
                <w:rFonts w:hint="eastAsia" w:ascii="Times New Roman" w:hAnsi="Times New Roman" w:cs="Times New Roman"/>
                <w:b/>
                <w:bCs/>
                <w:kern w:val="2"/>
                <w:sz w:val="18"/>
                <w:szCs w:val="18"/>
              </w:rPr>
              <w:t>规划共绘</w:t>
            </w:r>
          </w:p>
        </w:tc>
        <w:tc>
          <w:tcPr>
            <w:tcW w:w="1417" w:type="dxa"/>
            <w:tcBorders>
              <w:top w:val="single" w:color="auto" w:sz="4" w:space="0"/>
              <w:left w:val="single" w:color="auto" w:sz="4" w:space="0"/>
              <w:bottom w:val="single" w:color="auto" w:sz="4" w:space="0"/>
              <w:right w:val="single" w:color="auto" w:sz="4" w:space="0"/>
            </w:tcBorders>
            <w:vAlign w:val="center"/>
          </w:tcPr>
          <w:p w14:paraId="0CE95C38">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编制片区规划</w:t>
            </w:r>
          </w:p>
        </w:tc>
        <w:tc>
          <w:tcPr>
            <w:tcW w:w="2410" w:type="dxa"/>
            <w:tcBorders>
              <w:left w:val="single" w:color="auto" w:sz="4" w:space="0"/>
              <w:bottom w:val="single" w:color="auto" w:sz="4" w:space="0"/>
              <w:right w:val="single" w:color="auto" w:sz="4" w:space="0"/>
            </w:tcBorders>
            <w:vAlign w:val="center"/>
          </w:tcPr>
          <w:p w14:paraId="6F839846">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对片区发展有科学系统的整体规划，符合域内自然和人文资源禀赋；各村之间具有优势互补或集群效应。</w:t>
            </w:r>
          </w:p>
        </w:tc>
        <w:tc>
          <w:tcPr>
            <w:tcW w:w="3118" w:type="dxa"/>
            <w:tcBorders>
              <w:left w:val="single" w:color="auto" w:sz="4" w:space="0"/>
              <w:bottom w:val="single" w:color="auto" w:sz="4" w:space="0"/>
              <w:right w:val="single" w:color="auto" w:sz="4" w:space="0"/>
            </w:tcBorders>
          </w:tcPr>
          <w:p w14:paraId="4766CF98">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5分：根据域内自然和人文资源禀赋，对片区开展科学系统的整体规划，片区内各村优势互补或形成集群效应；</w:t>
            </w:r>
          </w:p>
          <w:p w14:paraId="467F0496">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0-4分：上述指标根据是否匹配域内自然与人文资源禀赋、规划是否科学严谨、是否形成整合优势，按较好偏上、较好、一般偏上、一般、较差，分别给予4分、3分、2分、1分、0分。</w:t>
            </w:r>
          </w:p>
        </w:tc>
        <w:tc>
          <w:tcPr>
            <w:tcW w:w="851" w:type="dxa"/>
            <w:tcBorders>
              <w:left w:val="single" w:color="auto" w:sz="4" w:space="0"/>
              <w:bottom w:val="single" w:color="auto" w:sz="4" w:space="0"/>
              <w:right w:val="single" w:color="auto" w:sz="4" w:space="0"/>
            </w:tcBorders>
            <w:vAlign w:val="center"/>
          </w:tcPr>
          <w:p w14:paraId="55F4A45D">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【0-5】</w:t>
            </w:r>
          </w:p>
        </w:tc>
      </w:tr>
      <w:tr w14:paraId="06A14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2" w:hRule="atLeast"/>
        </w:trPr>
        <w:tc>
          <w:tcPr>
            <w:tcW w:w="738" w:type="dxa"/>
            <w:vMerge w:val="continue"/>
            <w:tcBorders>
              <w:left w:val="single" w:color="auto" w:sz="4" w:space="0"/>
              <w:right w:val="single" w:color="auto" w:sz="4" w:space="0"/>
            </w:tcBorders>
            <w:vAlign w:val="center"/>
          </w:tcPr>
          <w:p w14:paraId="092E02FC">
            <w:pPr>
              <w:spacing w:line="240" w:lineRule="auto"/>
              <w:jc w:val="center"/>
              <w:rPr>
                <w:rFonts w:ascii="Times New Roman" w:hAnsi="Times New Roman"/>
                <w:sz w:val="18"/>
                <w:szCs w:val="18"/>
              </w:rPr>
            </w:pPr>
          </w:p>
        </w:tc>
        <w:tc>
          <w:tcPr>
            <w:tcW w:w="709" w:type="dxa"/>
            <w:vMerge w:val="continue"/>
            <w:tcBorders>
              <w:left w:val="single" w:color="auto" w:sz="4" w:space="0"/>
              <w:right w:val="single" w:color="auto" w:sz="4" w:space="0"/>
            </w:tcBorders>
            <w:vAlign w:val="center"/>
          </w:tcPr>
          <w:p w14:paraId="453545ED">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18"/>
                <w:szCs w:val="18"/>
              </w:rPr>
            </w:pPr>
          </w:p>
        </w:tc>
        <w:tc>
          <w:tcPr>
            <w:tcW w:w="1417" w:type="dxa"/>
            <w:tcBorders>
              <w:top w:val="single" w:color="auto" w:sz="4" w:space="0"/>
              <w:left w:val="single" w:color="auto" w:sz="4" w:space="0"/>
              <w:right w:val="single" w:color="auto" w:sz="4" w:space="0"/>
            </w:tcBorders>
            <w:vAlign w:val="center"/>
          </w:tcPr>
          <w:p w14:paraId="27C880C5">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实施片区规划</w:t>
            </w:r>
          </w:p>
        </w:tc>
        <w:tc>
          <w:tcPr>
            <w:tcW w:w="2410" w:type="dxa"/>
            <w:tcBorders>
              <w:top w:val="single" w:color="auto" w:sz="4" w:space="0"/>
              <w:left w:val="single" w:color="auto" w:sz="4" w:space="0"/>
              <w:right w:val="single" w:color="auto" w:sz="4" w:space="0"/>
            </w:tcBorders>
            <w:vAlign w:val="center"/>
          </w:tcPr>
          <w:p w14:paraId="5200E014">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规划项目有特色、有市场、有保障、有落地、有效果；根据条件变化，及时修订规划。</w:t>
            </w:r>
          </w:p>
        </w:tc>
        <w:tc>
          <w:tcPr>
            <w:tcW w:w="3118" w:type="dxa"/>
            <w:tcBorders>
              <w:top w:val="single" w:color="auto" w:sz="4" w:space="0"/>
              <w:left w:val="single" w:color="auto" w:sz="4" w:space="0"/>
              <w:right w:val="single" w:color="auto" w:sz="4" w:space="0"/>
            </w:tcBorders>
          </w:tcPr>
          <w:p w14:paraId="05F3BAAA">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5分：规划项目有特色，能吸引旅游人群，有资金保障，能够落地，并取得很好的成效；针对外部变化，及时修订、新增、删减规划项目。</w:t>
            </w:r>
          </w:p>
          <w:p w14:paraId="53D296FF">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0-4分：上述指标按较好偏上、较好、一般偏上、一般、较差，分别给予4分、3分、2分、1分、0分。</w:t>
            </w:r>
          </w:p>
        </w:tc>
        <w:tc>
          <w:tcPr>
            <w:tcW w:w="851" w:type="dxa"/>
            <w:tcBorders>
              <w:top w:val="single" w:color="auto" w:sz="4" w:space="0"/>
              <w:left w:val="single" w:color="auto" w:sz="4" w:space="0"/>
              <w:right w:val="single" w:color="auto" w:sz="4" w:space="0"/>
            </w:tcBorders>
            <w:vAlign w:val="center"/>
          </w:tcPr>
          <w:p w14:paraId="67093053">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【0-5】</w:t>
            </w:r>
          </w:p>
        </w:tc>
      </w:tr>
      <w:tr w14:paraId="6DF07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trPr>
        <w:tc>
          <w:tcPr>
            <w:tcW w:w="738" w:type="dxa"/>
            <w:vMerge w:val="restart"/>
            <w:tcBorders>
              <w:left w:val="single" w:color="auto" w:sz="4" w:space="0"/>
              <w:right w:val="single" w:color="auto" w:sz="4" w:space="0"/>
            </w:tcBorders>
            <w:vAlign w:val="center"/>
          </w:tcPr>
          <w:p w14:paraId="45080D51">
            <w:pPr>
              <w:pStyle w:val="6"/>
              <w:tabs>
                <w:tab w:val="center" w:pos="4201"/>
                <w:tab w:val="right" w:leader="dot" w:pos="9298"/>
              </w:tabs>
              <w:autoSpaceDE w:val="0"/>
              <w:autoSpaceDN w:val="0"/>
              <w:spacing w:before="0" w:after="0"/>
              <w:jc w:val="center"/>
              <w:rPr>
                <w:rFonts w:ascii="Times New Roman" w:hAnsi="Times New Roman" w:cs="Times New Roman"/>
                <w:b/>
                <w:bCs/>
                <w:kern w:val="2"/>
                <w:sz w:val="21"/>
                <w:szCs w:val="21"/>
              </w:rPr>
            </w:pPr>
          </w:p>
          <w:p w14:paraId="49D9312C">
            <w:pPr>
              <w:pStyle w:val="6"/>
              <w:tabs>
                <w:tab w:val="center" w:pos="4201"/>
                <w:tab w:val="right" w:leader="dot" w:pos="9298"/>
              </w:tabs>
              <w:autoSpaceDE w:val="0"/>
              <w:autoSpaceDN w:val="0"/>
              <w:spacing w:before="0" w:after="0"/>
              <w:jc w:val="center"/>
              <w:rPr>
                <w:rFonts w:ascii="Times New Roman" w:hAnsi="Times New Roman" w:cs="Times New Roman"/>
                <w:b/>
                <w:bCs/>
                <w:kern w:val="2"/>
                <w:sz w:val="21"/>
                <w:szCs w:val="21"/>
              </w:rPr>
            </w:pPr>
          </w:p>
          <w:p w14:paraId="44FEE6F4">
            <w:pPr>
              <w:pStyle w:val="6"/>
              <w:tabs>
                <w:tab w:val="center" w:pos="4201"/>
                <w:tab w:val="right" w:leader="dot" w:pos="9298"/>
              </w:tabs>
              <w:autoSpaceDE w:val="0"/>
              <w:autoSpaceDN w:val="0"/>
              <w:spacing w:before="0" w:after="0"/>
              <w:jc w:val="center"/>
              <w:rPr>
                <w:rFonts w:ascii="Times New Roman" w:hAnsi="Times New Roman" w:cs="Times New Roman"/>
                <w:b/>
                <w:bCs/>
                <w:kern w:val="2"/>
                <w:sz w:val="21"/>
                <w:szCs w:val="21"/>
              </w:rPr>
            </w:pPr>
          </w:p>
          <w:p w14:paraId="3054EDD2">
            <w:pPr>
              <w:pStyle w:val="6"/>
              <w:tabs>
                <w:tab w:val="center" w:pos="4201"/>
                <w:tab w:val="right" w:leader="dot" w:pos="9298"/>
              </w:tabs>
              <w:autoSpaceDE w:val="0"/>
              <w:autoSpaceDN w:val="0"/>
              <w:spacing w:before="0" w:after="0"/>
              <w:jc w:val="center"/>
              <w:rPr>
                <w:rFonts w:ascii="Times New Roman" w:hAnsi="Times New Roman" w:cs="Times New Roman"/>
                <w:b/>
                <w:bCs/>
                <w:kern w:val="2"/>
                <w:sz w:val="21"/>
                <w:szCs w:val="21"/>
              </w:rPr>
            </w:pPr>
          </w:p>
          <w:p w14:paraId="432D7678">
            <w:pPr>
              <w:pStyle w:val="6"/>
              <w:tabs>
                <w:tab w:val="center" w:pos="4201"/>
                <w:tab w:val="right" w:leader="dot" w:pos="9298"/>
              </w:tabs>
              <w:autoSpaceDE w:val="0"/>
              <w:autoSpaceDN w:val="0"/>
              <w:spacing w:before="0" w:after="0"/>
              <w:jc w:val="center"/>
              <w:rPr>
                <w:rFonts w:ascii="Times New Roman" w:hAnsi="Times New Roman" w:cs="Times New Roman"/>
                <w:b/>
                <w:bCs/>
                <w:kern w:val="2"/>
                <w:sz w:val="21"/>
                <w:szCs w:val="21"/>
              </w:rPr>
            </w:pPr>
          </w:p>
          <w:p w14:paraId="7856CBDF">
            <w:pPr>
              <w:pStyle w:val="6"/>
              <w:tabs>
                <w:tab w:val="center" w:pos="4201"/>
                <w:tab w:val="right" w:leader="dot" w:pos="9298"/>
              </w:tabs>
              <w:autoSpaceDE w:val="0"/>
              <w:autoSpaceDN w:val="0"/>
              <w:spacing w:before="0" w:after="0"/>
              <w:jc w:val="center"/>
              <w:rPr>
                <w:rFonts w:ascii="Times New Roman" w:hAnsi="Times New Roman" w:cs="Times New Roman"/>
                <w:b/>
                <w:bCs/>
                <w:kern w:val="2"/>
                <w:sz w:val="21"/>
                <w:szCs w:val="21"/>
              </w:rPr>
            </w:pPr>
            <w:r>
              <w:rPr>
                <w:rFonts w:ascii="Times New Roman" w:hAnsi="Times New Roman" w:cs="Times New Roman"/>
                <w:b/>
                <w:bCs/>
                <w:kern w:val="2"/>
                <w:sz w:val="21"/>
                <w:szCs w:val="21"/>
              </w:rPr>
              <w:t>品牌强度要素</w:t>
            </w:r>
          </w:p>
          <w:p w14:paraId="77114FDA">
            <w:pPr>
              <w:pStyle w:val="6"/>
              <w:tabs>
                <w:tab w:val="center" w:pos="4201"/>
                <w:tab w:val="right" w:leader="dot" w:pos="9298"/>
              </w:tabs>
              <w:autoSpaceDE w:val="0"/>
              <w:autoSpaceDN w:val="0"/>
              <w:spacing w:before="0" w:after="0"/>
              <w:jc w:val="center"/>
              <w:rPr>
                <w:rFonts w:ascii="Times New Roman" w:hAnsi="Times New Roman" w:cs="Times New Roman"/>
                <w:b/>
                <w:bCs/>
                <w:kern w:val="2"/>
                <w:sz w:val="21"/>
                <w:szCs w:val="21"/>
              </w:rPr>
            </w:pPr>
          </w:p>
          <w:p w14:paraId="07010BAF">
            <w:pPr>
              <w:pStyle w:val="6"/>
              <w:tabs>
                <w:tab w:val="center" w:pos="4201"/>
                <w:tab w:val="right" w:leader="dot" w:pos="9298"/>
              </w:tabs>
              <w:autoSpaceDE w:val="0"/>
              <w:autoSpaceDN w:val="0"/>
              <w:spacing w:before="0" w:after="0"/>
              <w:jc w:val="center"/>
              <w:rPr>
                <w:rFonts w:ascii="Times New Roman" w:hAnsi="Times New Roman" w:cs="Times New Roman"/>
                <w:b/>
                <w:bCs/>
                <w:kern w:val="2"/>
                <w:sz w:val="21"/>
                <w:szCs w:val="21"/>
              </w:rPr>
            </w:pPr>
          </w:p>
          <w:p w14:paraId="332119B1">
            <w:pPr>
              <w:pStyle w:val="6"/>
              <w:tabs>
                <w:tab w:val="center" w:pos="4201"/>
                <w:tab w:val="right" w:leader="dot" w:pos="9298"/>
              </w:tabs>
              <w:autoSpaceDE w:val="0"/>
              <w:autoSpaceDN w:val="0"/>
              <w:spacing w:before="0" w:after="0"/>
              <w:jc w:val="center"/>
              <w:rPr>
                <w:rFonts w:ascii="Times New Roman" w:hAnsi="Times New Roman" w:cs="Times New Roman"/>
                <w:b/>
                <w:bCs/>
                <w:kern w:val="2"/>
                <w:sz w:val="21"/>
                <w:szCs w:val="21"/>
              </w:rPr>
            </w:pPr>
          </w:p>
          <w:p w14:paraId="12D79470">
            <w:pPr>
              <w:pStyle w:val="6"/>
              <w:tabs>
                <w:tab w:val="center" w:pos="4201"/>
                <w:tab w:val="right" w:leader="dot" w:pos="9298"/>
              </w:tabs>
              <w:autoSpaceDE w:val="0"/>
              <w:autoSpaceDN w:val="0"/>
              <w:spacing w:before="0" w:after="0"/>
              <w:jc w:val="center"/>
              <w:rPr>
                <w:rFonts w:ascii="Times New Roman" w:hAnsi="Times New Roman" w:cs="Times New Roman"/>
                <w:b/>
                <w:bCs/>
                <w:kern w:val="2"/>
                <w:sz w:val="21"/>
                <w:szCs w:val="21"/>
              </w:rPr>
            </w:pPr>
          </w:p>
          <w:p w14:paraId="298FDA6B">
            <w:pPr>
              <w:pStyle w:val="6"/>
              <w:tabs>
                <w:tab w:val="center" w:pos="4201"/>
                <w:tab w:val="right" w:leader="dot" w:pos="9298"/>
              </w:tabs>
              <w:autoSpaceDE w:val="0"/>
              <w:autoSpaceDN w:val="0"/>
              <w:spacing w:before="0" w:after="0"/>
              <w:jc w:val="center"/>
              <w:rPr>
                <w:rFonts w:ascii="Times New Roman" w:hAnsi="Times New Roman" w:cs="Times New Roman"/>
                <w:b/>
                <w:bCs/>
                <w:kern w:val="2"/>
                <w:sz w:val="21"/>
                <w:szCs w:val="21"/>
              </w:rPr>
            </w:pPr>
          </w:p>
          <w:p w14:paraId="40A40160">
            <w:pPr>
              <w:pStyle w:val="6"/>
              <w:tabs>
                <w:tab w:val="center" w:pos="4201"/>
                <w:tab w:val="right" w:leader="dot" w:pos="9298"/>
              </w:tabs>
              <w:autoSpaceDE w:val="0"/>
              <w:autoSpaceDN w:val="0"/>
              <w:spacing w:before="0" w:after="0"/>
              <w:jc w:val="center"/>
              <w:rPr>
                <w:rFonts w:ascii="Times New Roman" w:hAnsi="Times New Roman" w:cs="Times New Roman"/>
                <w:b/>
                <w:bCs/>
                <w:kern w:val="2"/>
                <w:sz w:val="21"/>
                <w:szCs w:val="21"/>
              </w:rPr>
            </w:pPr>
          </w:p>
          <w:p w14:paraId="4C9BB0C8">
            <w:pPr>
              <w:pStyle w:val="6"/>
              <w:tabs>
                <w:tab w:val="center" w:pos="4201"/>
                <w:tab w:val="right" w:leader="dot" w:pos="9298"/>
              </w:tabs>
              <w:autoSpaceDE w:val="0"/>
              <w:autoSpaceDN w:val="0"/>
              <w:spacing w:before="0" w:after="0"/>
              <w:jc w:val="center"/>
              <w:rPr>
                <w:rFonts w:ascii="Times New Roman" w:hAnsi="Times New Roman" w:cs="Times New Roman"/>
                <w:b/>
                <w:bCs/>
                <w:kern w:val="2"/>
                <w:sz w:val="21"/>
                <w:szCs w:val="21"/>
              </w:rPr>
            </w:pPr>
          </w:p>
          <w:p w14:paraId="6CAED12B">
            <w:pPr>
              <w:pStyle w:val="6"/>
              <w:tabs>
                <w:tab w:val="center" w:pos="4201"/>
                <w:tab w:val="right" w:leader="dot" w:pos="9298"/>
              </w:tabs>
              <w:autoSpaceDE w:val="0"/>
              <w:autoSpaceDN w:val="0"/>
              <w:spacing w:before="0" w:after="0"/>
              <w:jc w:val="center"/>
              <w:rPr>
                <w:rFonts w:ascii="Times New Roman" w:hAnsi="Times New Roman" w:cs="Times New Roman"/>
                <w:b/>
                <w:bCs/>
                <w:kern w:val="2"/>
                <w:sz w:val="21"/>
                <w:szCs w:val="21"/>
              </w:rPr>
            </w:pPr>
          </w:p>
          <w:p w14:paraId="3E2649E0">
            <w:pPr>
              <w:pStyle w:val="6"/>
              <w:tabs>
                <w:tab w:val="center" w:pos="4201"/>
                <w:tab w:val="right" w:leader="dot" w:pos="9298"/>
              </w:tabs>
              <w:autoSpaceDE w:val="0"/>
              <w:autoSpaceDN w:val="0"/>
              <w:spacing w:before="0" w:after="0"/>
              <w:jc w:val="center"/>
              <w:rPr>
                <w:rFonts w:ascii="Times New Roman" w:hAnsi="Times New Roman" w:cs="Times New Roman"/>
                <w:b/>
                <w:bCs/>
                <w:kern w:val="2"/>
                <w:sz w:val="21"/>
                <w:szCs w:val="21"/>
              </w:rPr>
            </w:pPr>
          </w:p>
          <w:p w14:paraId="4860C23C">
            <w:pPr>
              <w:pStyle w:val="6"/>
              <w:tabs>
                <w:tab w:val="center" w:pos="4201"/>
                <w:tab w:val="right" w:leader="dot" w:pos="9298"/>
              </w:tabs>
              <w:autoSpaceDE w:val="0"/>
              <w:autoSpaceDN w:val="0"/>
              <w:spacing w:before="0" w:after="0"/>
              <w:jc w:val="center"/>
              <w:rPr>
                <w:rFonts w:ascii="Times New Roman" w:hAnsi="Times New Roman" w:cs="Times New Roman"/>
                <w:b/>
                <w:bCs/>
                <w:kern w:val="2"/>
                <w:sz w:val="21"/>
                <w:szCs w:val="21"/>
              </w:rPr>
            </w:pPr>
          </w:p>
          <w:p w14:paraId="13741B7F">
            <w:pPr>
              <w:pStyle w:val="6"/>
              <w:tabs>
                <w:tab w:val="center" w:pos="4201"/>
                <w:tab w:val="right" w:leader="dot" w:pos="9298"/>
              </w:tabs>
              <w:autoSpaceDE w:val="0"/>
              <w:autoSpaceDN w:val="0"/>
              <w:spacing w:before="0" w:after="0"/>
              <w:jc w:val="center"/>
              <w:rPr>
                <w:rFonts w:ascii="Times New Roman" w:hAnsi="Times New Roman" w:cs="Times New Roman"/>
                <w:b/>
                <w:bCs/>
                <w:kern w:val="2"/>
                <w:sz w:val="21"/>
                <w:szCs w:val="21"/>
              </w:rPr>
            </w:pPr>
          </w:p>
          <w:p w14:paraId="2DC5E461">
            <w:pPr>
              <w:pStyle w:val="6"/>
              <w:tabs>
                <w:tab w:val="center" w:pos="4201"/>
                <w:tab w:val="right" w:leader="dot" w:pos="9298"/>
              </w:tabs>
              <w:autoSpaceDE w:val="0"/>
              <w:autoSpaceDN w:val="0"/>
              <w:spacing w:before="0" w:after="0"/>
              <w:jc w:val="center"/>
              <w:rPr>
                <w:rFonts w:ascii="Times New Roman" w:hAnsi="Times New Roman" w:cs="Times New Roman"/>
                <w:b/>
                <w:bCs/>
                <w:kern w:val="2"/>
                <w:sz w:val="21"/>
                <w:szCs w:val="21"/>
              </w:rPr>
            </w:pPr>
          </w:p>
          <w:p w14:paraId="320D7ED9">
            <w:pPr>
              <w:pStyle w:val="6"/>
              <w:tabs>
                <w:tab w:val="center" w:pos="4201"/>
                <w:tab w:val="right" w:leader="dot" w:pos="9298"/>
              </w:tabs>
              <w:autoSpaceDE w:val="0"/>
              <w:autoSpaceDN w:val="0"/>
              <w:spacing w:before="0" w:after="0"/>
              <w:jc w:val="center"/>
              <w:rPr>
                <w:rFonts w:ascii="Times New Roman" w:hAnsi="Times New Roman" w:cs="Times New Roman"/>
                <w:b/>
                <w:bCs/>
                <w:kern w:val="2"/>
                <w:sz w:val="21"/>
                <w:szCs w:val="21"/>
              </w:rPr>
            </w:pPr>
          </w:p>
          <w:p w14:paraId="4ACB4C97">
            <w:pPr>
              <w:pStyle w:val="6"/>
              <w:tabs>
                <w:tab w:val="center" w:pos="4201"/>
                <w:tab w:val="right" w:leader="dot" w:pos="9298"/>
              </w:tabs>
              <w:autoSpaceDE w:val="0"/>
              <w:autoSpaceDN w:val="0"/>
              <w:spacing w:before="0" w:after="0"/>
              <w:jc w:val="center"/>
              <w:rPr>
                <w:rFonts w:ascii="Times New Roman" w:hAnsi="Times New Roman" w:cs="Times New Roman"/>
                <w:b/>
                <w:bCs/>
                <w:kern w:val="2"/>
                <w:sz w:val="21"/>
                <w:szCs w:val="21"/>
              </w:rPr>
            </w:pPr>
          </w:p>
          <w:p w14:paraId="5497F69E">
            <w:pPr>
              <w:pStyle w:val="6"/>
              <w:tabs>
                <w:tab w:val="center" w:pos="4201"/>
                <w:tab w:val="right" w:leader="dot" w:pos="9298"/>
              </w:tabs>
              <w:autoSpaceDE w:val="0"/>
              <w:autoSpaceDN w:val="0"/>
              <w:spacing w:before="0" w:after="0"/>
              <w:rPr>
                <w:rFonts w:ascii="Times New Roman" w:hAnsi="Times New Roman"/>
                <w:sz w:val="18"/>
                <w:szCs w:val="18"/>
              </w:rPr>
            </w:pPr>
            <w:r>
              <w:rPr>
                <w:rFonts w:ascii="Times New Roman" w:hAnsi="Times New Roman" w:cs="Times New Roman"/>
                <w:b/>
                <w:bCs/>
                <w:kern w:val="2"/>
                <w:sz w:val="21"/>
                <w:szCs w:val="21"/>
              </w:rPr>
              <w:t>品牌强度要素</w:t>
            </w:r>
          </w:p>
        </w:tc>
        <w:tc>
          <w:tcPr>
            <w:tcW w:w="709" w:type="dxa"/>
            <w:vMerge w:val="restart"/>
            <w:tcBorders>
              <w:left w:val="single" w:color="auto" w:sz="4" w:space="0"/>
              <w:right w:val="single" w:color="auto" w:sz="4" w:space="0"/>
            </w:tcBorders>
            <w:vAlign w:val="center"/>
          </w:tcPr>
          <w:p w14:paraId="64DCDB58">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18"/>
                <w:szCs w:val="18"/>
              </w:rPr>
            </w:pPr>
            <w:r>
              <w:rPr>
                <w:rFonts w:hint="eastAsia" w:ascii="Times New Roman" w:hAnsi="Times New Roman" w:cs="Times New Roman"/>
                <w:b/>
                <w:bCs/>
                <w:kern w:val="2"/>
                <w:sz w:val="18"/>
                <w:szCs w:val="18"/>
              </w:rPr>
              <w:t>数智共联</w:t>
            </w:r>
          </w:p>
        </w:tc>
        <w:tc>
          <w:tcPr>
            <w:tcW w:w="1417" w:type="dxa"/>
            <w:tcBorders>
              <w:top w:val="single" w:color="auto" w:sz="4" w:space="0"/>
              <w:left w:val="single" w:color="auto" w:sz="4" w:space="0"/>
              <w:right w:val="single" w:color="auto" w:sz="4" w:space="0"/>
            </w:tcBorders>
            <w:vAlign w:val="center"/>
          </w:tcPr>
          <w:p w14:paraId="07D7B7E8">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资源数字转化</w:t>
            </w:r>
          </w:p>
        </w:tc>
        <w:tc>
          <w:tcPr>
            <w:tcW w:w="2410" w:type="dxa"/>
            <w:tcBorders>
              <w:top w:val="single" w:color="auto" w:sz="4" w:space="0"/>
              <w:left w:val="single" w:color="auto" w:sz="4" w:space="0"/>
              <w:right w:val="single" w:color="auto" w:sz="4" w:space="0"/>
            </w:tcBorders>
            <w:vAlign w:val="center"/>
          </w:tcPr>
          <w:p w14:paraId="79B6F933">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片区内自然、产业、空间、资产、项目等资源实现数字化采集、建档、互通与可视化管理。</w:t>
            </w:r>
          </w:p>
        </w:tc>
        <w:tc>
          <w:tcPr>
            <w:tcW w:w="3118" w:type="dxa"/>
            <w:tcBorders>
              <w:top w:val="single" w:color="auto" w:sz="4" w:space="0"/>
              <w:left w:val="single" w:color="auto" w:sz="4" w:space="0"/>
              <w:right w:val="single" w:color="auto" w:sz="4" w:space="0"/>
            </w:tcBorders>
          </w:tcPr>
          <w:p w14:paraId="718527EF">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3分：自然、产业、空间、资产、项目等资源实现数字化采集、建档、互通与可视化管理；</w:t>
            </w:r>
          </w:p>
          <w:p w14:paraId="7B830306">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0-2分：上述指标根据数字化信息转化和互联互通的程度，按较好、一般、较差，分别给予2分、1分、0分。</w:t>
            </w:r>
          </w:p>
        </w:tc>
        <w:tc>
          <w:tcPr>
            <w:tcW w:w="851" w:type="dxa"/>
            <w:tcBorders>
              <w:top w:val="single" w:color="auto" w:sz="4" w:space="0"/>
              <w:left w:val="single" w:color="auto" w:sz="4" w:space="0"/>
              <w:right w:val="single" w:color="auto" w:sz="4" w:space="0"/>
            </w:tcBorders>
            <w:vAlign w:val="center"/>
          </w:tcPr>
          <w:p w14:paraId="6C17F3CA">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【0-3】</w:t>
            </w:r>
          </w:p>
        </w:tc>
      </w:tr>
      <w:tr w14:paraId="3DE1E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trPr>
        <w:tc>
          <w:tcPr>
            <w:tcW w:w="738" w:type="dxa"/>
            <w:vMerge w:val="continue"/>
            <w:tcBorders>
              <w:left w:val="single" w:color="auto" w:sz="4" w:space="0"/>
              <w:right w:val="single" w:color="auto" w:sz="4" w:space="0"/>
            </w:tcBorders>
            <w:vAlign w:val="center"/>
          </w:tcPr>
          <w:p w14:paraId="7D0B1B61">
            <w:pPr>
              <w:pStyle w:val="6"/>
              <w:tabs>
                <w:tab w:val="center" w:pos="4201"/>
                <w:tab w:val="right" w:leader="dot" w:pos="9298"/>
              </w:tabs>
              <w:autoSpaceDE w:val="0"/>
              <w:autoSpaceDN w:val="0"/>
              <w:spacing w:before="0" w:after="0"/>
              <w:rPr>
                <w:rFonts w:ascii="Times New Roman" w:hAnsi="Times New Roman"/>
                <w:sz w:val="18"/>
                <w:szCs w:val="18"/>
              </w:rPr>
            </w:pPr>
          </w:p>
        </w:tc>
        <w:tc>
          <w:tcPr>
            <w:tcW w:w="709" w:type="dxa"/>
            <w:vMerge w:val="continue"/>
            <w:tcBorders>
              <w:left w:val="single" w:color="auto" w:sz="4" w:space="0"/>
              <w:right w:val="single" w:color="auto" w:sz="4" w:space="0"/>
            </w:tcBorders>
            <w:vAlign w:val="center"/>
          </w:tcPr>
          <w:p w14:paraId="2E26543F">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18"/>
                <w:szCs w:val="18"/>
              </w:rPr>
            </w:pPr>
          </w:p>
        </w:tc>
        <w:tc>
          <w:tcPr>
            <w:tcW w:w="1417" w:type="dxa"/>
            <w:tcBorders>
              <w:top w:val="single" w:color="auto" w:sz="4" w:space="0"/>
              <w:left w:val="single" w:color="auto" w:sz="4" w:space="0"/>
              <w:right w:val="single" w:color="auto" w:sz="4" w:space="0"/>
            </w:tcBorders>
            <w:vAlign w:val="center"/>
          </w:tcPr>
          <w:p w14:paraId="0F7AC00B">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数智治理应用</w:t>
            </w:r>
          </w:p>
        </w:tc>
        <w:tc>
          <w:tcPr>
            <w:tcW w:w="2410" w:type="dxa"/>
            <w:tcBorders>
              <w:top w:val="single" w:color="auto" w:sz="4" w:space="0"/>
              <w:left w:val="single" w:color="auto" w:sz="4" w:space="0"/>
              <w:right w:val="single" w:color="auto" w:sz="4" w:space="0"/>
            </w:tcBorders>
            <w:vAlign w:val="center"/>
          </w:tcPr>
          <w:p w14:paraId="73262096">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片区内环境卫生、治安防控、村务公开、人口管理、社区养老等治理工作实现数智化。</w:t>
            </w:r>
          </w:p>
        </w:tc>
        <w:tc>
          <w:tcPr>
            <w:tcW w:w="3118" w:type="dxa"/>
            <w:tcBorders>
              <w:top w:val="single" w:color="auto" w:sz="4" w:space="0"/>
              <w:left w:val="single" w:color="auto" w:sz="4" w:space="0"/>
              <w:right w:val="single" w:color="auto" w:sz="4" w:space="0"/>
            </w:tcBorders>
          </w:tcPr>
          <w:p w14:paraId="43E7018D">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4分：利用数智化设施开展片区治理工作，效果显著；</w:t>
            </w:r>
          </w:p>
          <w:p w14:paraId="18BD1C58">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0-3分：根据评价对象片区治理工作的数智化程度，按较好偏上、较好、一般、较差，分别给予3分、2分、1分、0分</w:t>
            </w:r>
          </w:p>
        </w:tc>
        <w:tc>
          <w:tcPr>
            <w:tcW w:w="851" w:type="dxa"/>
            <w:tcBorders>
              <w:top w:val="single" w:color="auto" w:sz="4" w:space="0"/>
              <w:left w:val="single" w:color="auto" w:sz="4" w:space="0"/>
              <w:right w:val="single" w:color="auto" w:sz="4" w:space="0"/>
            </w:tcBorders>
            <w:vAlign w:val="center"/>
          </w:tcPr>
          <w:p w14:paraId="29F52D91">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【0-4】</w:t>
            </w:r>
          </w:p>
        </w:tc>
      </w:tr>
      <w:tr w14:paraId="0B002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trPr>
        <w:tc>
          <w:tcPr>
            <w:tcW w:w="738" w:type="dxa"/>
            <w:vMerge w:val="continue"/>
            <w:tcBorders>
              <w:left w:val="single" w:color="auto" w:sz="4" w:space="0"/>
              <w:right w:val="single" w:color="auto" w:sz="4" w:space="0"/>
            </w:tcBorders>
            <w:vAlign w:val="center"/>
          </w:tcPr>
          <w:p w14:paraId="62FDEC14">
            <w:pPr>
              <w:pStyle w:val="6"/>
              <w:tabs>
                <w:tab w:val="center" w:pos="4201"/>
                <w:tab w:val="right" w:leader="dot" w:pos="9298"/>
              </w:tabs>
              <w:autoSpaceDE w:val="0"/>
              <w:autoSpaceDN w:val="0"/>
              <w:spacing w:before="0" w:after="0"/>
              <w:rPr>
                <w:rFonts w:ascii="Times New Roman" w:hAnsi="Times New Roman"/>
                <w:sz w:val="18"/>
                <w:szCs w:val="18"/>
              </w:rPr>
            </w:pPr>
          </w:p>
        </w:tc>
        <w:tc>
          <w:tcPr>
            <w:tcW w:w="709" w:type="dxa"/>
            <w:vMerge w:val="continue"/>
            <w:tcBorders>
              <w:left w:val="single" w:color="auto" w:sz="4" w:space="0"/>
              <w:right w:val="single" w:color="auto" w:sz="4" w:space="0"/>
            </w:tcBorders>
            <w:vAlign w:val="center"/>
          </w:tcPr>
          <w:p w14:paraId="4256AD9B">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18"/>
                <w:szCs w:val="18"/>
              </w:rPr>
            </w:pPr>
          </w:p>
        </w:tc>
        <w:tc>
          <w:tcPr>
            <w:tcW w:w="1417" w:type="dxa"/>
            <w:tcBorders>
              <w:top w:val="single" w:color="auto" w:sz="4" w:space="0"/>
              <w:left w:val="single" w:color="auto" w:sz="4" w:space="0"/>
              <w:right w:val="single" w:color="auto" w:sz="4" w:space="0"/>
            </w:tcBorders>
            <w:vAlign w:val="center"/>
          </w:tcPr>
          <w:p w14:paraId="124EF432">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数智经营应用</w:t>
            </w:r>
          </w:p>
        </w:tc>
        <w:tc>
          <w:tcPr>
            <w:tcW w:w="2410" w:type="dxa"/>
            <w:tcBorders>
              <w:top w:val="single" w:color="auto" w:sz="4" w:space="0"/>
              <w:left w:val="single" w:color="auto" w:sz="4" w:space="0"/>
              <w:right w:val="single" w:color="auto" w:sz="4" w:space="0"/>
            </w:tcBorders>
            <w:vAlign w:val="center"/>
          </w:tcPr>
          <w:p w14:paraId="79FAD051">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片区内各村、各业态之间在客流、商流、车流、信息流等方面实现数智化导流与互推；在现金流方面接入统一支付结算系统，实现“一码通付”、账户管理的数智化。</w:t>
            </w:r>
          </w:p>
        </w:tc>
        <w:tc>
          <w:tcPr>
            <w:tcW w:w="3118" w:type="dxa"/>
            <w:tcBorders>
              <w:top w:val="single" w:color="auto" w:sz="4" w:space="0"/>
              <w:left w:val="single" w:color="auto" w:sz="4" w:space="0"/>
              <w:right w:val="single" w:color="auto" w:sz="4" w:space="0"/>
            </w:tcBorders>
          </w:tcPr>
          <w:p w14:paraId="1B929D53">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4分：利用数智化设施开展片区经营业态和场景的赋能管理工作，效果显著；</w:t>
            </w:r>
          </w:p>
          <w:p w14:paraId="2616AF6F">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0-3分：根据评价对象片区经营业态和场景的数智化应用和管理效果，按较好偏上、较好、一般、较差，分别给予3分、2分、1分、0分</w:t>
            </w:r>
          </w:p>
        </w:tc>
        <w:tc>
          <w:tcPr>
            <w:tcW w:w="851" w:type="dxa"/>
            <w:tcBorders>
              <w:top w:val="single" w:color="auto" w:sz="4" w:space="0"/>
              <w:left w:val="single" w:color="auto" w:sz="4" w:space="0"/>
              <w:right w:val="single" w:color="auto" w:sz="4" w:space="0"/>
            </w:tcBorders>
            <w:vAlign w:val="center"/>
          </w:tcPr>
          <w:p w14:paraId="4F55007A">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【0-4】</w:t>
            </w:r>
          </w:p>
        </w:tc>
      </w:tr>
      <w:tr w14:paraId="4A5CB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trPr>
        <w:tc>
          <w:tcPr>
            <w:tcW w:w="738" w:type="dxa"/>
            <w:vMerge w:val="continue"/>
            <w:tcBorders>
              <w:left w:val="single" w:color="auto" w:sz="4" w:space="0"/>
              <w:right w:val="single" w:color="auto" w:sz="4" w:space="0"/>
            </w:tcBorders>
            <w:vAlign w:val="center"/>
          </w:tcPr>
          <w:p w14:paraId="3D7E7FE8">
            <w:pPr>
              <w:pStyle w:val="6"/>
              <w:tabs>
                <w:tab w:val="center" w:pos="4201"/>
                <w:tab w:val="right" w:leader="dot" w:pos="9298"/>
              </w:tabs>
              <w:autoSpaceDE w:val="0"/>
              <w:autoSpaceDN w:val="0"/>
              <w:spacing w:before="0" w:after="0"/>
              <w:rPr>
                <w:rFonts w:ascii="Times New Roman" w:hAnsi="Times New Roman"/>
                <w:sz w:val="18"/>
                <w:szCs w:val="18"/>
              </w:rPr>
            </w:pPr>
          </w:p>
        </w:tc>
        <w:tc>
          <w:tcPr>
            <w:tcW w:w="709" w:type="dxa"/>
            <w:vMerge w:val="continue"/>
            <w:tcBorders>
              <w:left w:val="single" w:color="auto" w:sz="4" w:space="0"/>
              <w:right w:val="single" w:color="auto" w:sz="4" w:space="0"/>
            </w:tcBorders>
            <w:vAlign w:val="center"/>
          </w:tcPr>
          <w:p w14:paraId="38FDCD1C">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18"/>
                <w:szCs w:val="18"/>
              </w:rPr>
            </w:pPr>
          </w:p>
        </w:tc>
        <w:tc>
          <w:tcPr>
            <w:tcW w:w="1417" w:type="dxa"/>
            <w:tcBorders>
              <w:top w:val="single" w:color="auto" w:sz="4" w:space="0"/>
              <w:left w:val="single" w:color="auto" w:sz="4" w:space="0"/>
              <w:right w:val="single" w:color="auto" w:sz="4" w:space="0"/>
            </w:tcBorders>
            <w:vAlign w:val="center"/>
          </w:tcPr>
          <w:p w14:paraId="7BB27F3D">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数据安全保障</w:t>
            </w:r>
          </w:p>
        </w:tc>
        <w:tc>
          <w:tcPr>
            <w:tcW w:w="2410" w:type="dxa"/>
            <w:tcBorders>
              <w:top w:val="single" w:color="auto" w:sz="4" w:space="0"/>
              <w:left w:val="single" w:color="auto" w:sz="4" w:space="0"/>
              <w:right w:val="single" w:color="auto" w:sz="4" w:space="0"/>
            </w:tcBorders>
            <w:vAlign w:val="center"/>
          </w:tcPr>
          <w:p w14:paraId="09C83FB9">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数据安全防范与应对机制。</w:t>
            </w:r>
          </w:p>
        </w:tc>
        <w:tc>
          <w:tcPr>
            <w:tcW w:w="3118" w:type="dxa"/>
            <w:tcBorders>
              <w:top w:val="single" w:color="auto" w:sz="4" w:space="0"/>
              <w:left w:val="single" w:color="auto" w:sz="4" w:space="0"/>
              <w:right w:val="single" w:color="auto" w:sz="4" w:space="0"/>
            </w:tcBorders>
          </w:tcPr>
          <w:p w14:paraId="3844EE38">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3分：拥有数据安全防范和应对机制；未发生数据泄露事件；</w:t>
            </w:r>
          </w:p>
          <w:p w14:paraId="47739F47">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1-2分：在数据安全防范和应对机制上存在一定或重大缺陷，分别给予2分、1分；</w:t>
            </w:r>
          </w:p>
          <w:p w14:paraId="624159B9">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0分：没有数据安全防范和应对机制，或发生过数据泄露事件。</w:t>
            </w:r>
          </w:p>
        </w:tc>
        <w:tc>
          <w:tcPr>
            <w:tcW w:w="851" w:type="dxa"/>
            <w:tcBorders>
              <w:top w:val="single" w:color="auto" w:sz="4" w:space="0"/>
              <w:left w:val="single" w:color="auto" w:sz="4" w:space="0"/>
              <w:right w:val="single" w:color="auto" w:sz="4" w:space="0"/>
            </w:tcBorders>
            <w:vAlign w:val="center"/>
          </w:tcPr>
          <w:p w14:paraId="001BECEC">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【0-3】</w:t>
            </w:r>
          </w:p>
        </w:tc>
      </w:tr>
      <w:tr w14:paraId="70C06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trPr>
        <w:tc>
          <w:tcPr>
            <w:tcW w:w="738" w:type="dxa"/>
            <w:vMerge w:val="continue"/>
            <w:tcBorders>
              <w:left w:val="single" w:color="auto" w:sz="4" w:space="0"/>
              <w:right w:val="single" w:color="auto" w:sz="4" w:space="0"/>
            </w:tcBorders>
            <w:vAlign w:val="center"/>
          </w:tcPr>
          <w:p w14:paraId="7107B57E">
            <w:pPr>
              <w:pStyle w:val="6"/>
              <w:tabs>
                <w:tab w:val="center" w:pos="4201"/>
                <w:tab w:val="right" w:leader="dot" w:pos="9298"/>
              </w:tabs>
              <w:autoSpaceDE w:val="0"/>
              <w:autoSpaceDN w:val="0"/>
              <w:spacing w:before="0" w:beforeAutospacing="0" w:after="0" w:afterAutospacing="0"/>
              <w:rPr>
                <w:rFonts w:ascii="Times New Roman" w:hAnsi="Times New Roman" w:cs="Times New Roman"/>
                <w:b/>
                <w:bCs/>
                <w:kern w:val="2"/>
                <w:sz w:val="21"/>
                <w:szCs w:val="21"/>
              </w:rPr>
            </w:pPr>
          </w:p>
        </w:tc>
        <w:tc>
          <w:tcPr>
            <w:tcW w:w="709" w:type="dxa"/>
            <w:vMerge w:val="restart"/>
            <w:tcBorders>
              <w:top w:val="single" w:color="auto" w:sz="4" w:space="0"/>
              <w:left w:val="single" w:color="auto" w:sz="4" w:space="0"/>
              <w:right w:val="single" w:color="auto" w:sz="4" w:space="0"/>
            </w:tcBorders>
            <w:vAlign w:val="center"/>
          </w:tcPr>
          <w:p w14:paraId="4FCAA479">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18"/>
                <w:szCs w:val="18"/>
              </w:rPr>
            </w:pPr>
            <w:r>
              <w:rPr>
                <w:rFonts w:hint="eastAsia" w:ascii="Times New Roman" w:hAnsi="Times New Roman" w:cs="Times New Roman"/>
                <w:b/>
                <w:bCs/>
                <w:kern w:val="2"/>
                <w:sz w:val="18"/>
                <w:szCs w:val="18"/>
              </w:rPr>
              <w:t>产业共兴</w:t>
            </w:r>
          </w:p>
        </w:tc>
        <w:tc>
          <w:tcPr>
            <w:tcW w:w="1417" w:type="dxa"/>
            <w:tcBorders>
              <w:top w:val="single" w:color="auto" w:sz="4" w:space="0"/>
              <w:left w:val="single" w:color="auto" w:sz="4" w:space="0"/>
              <w:bottom w:val="single" w:color="auto" w:sz="4" w:space="0"/>
              <w:right w:val="single" w:color="auto" w:sz="4" w:space="0"/>
            </w:tcBorders>
            <w:vAlign w:val="center"/>
          </w:tcPr>
          <w:p w14:paraId="2C149FFB">
            <w:pPr>
              <w:tabs>
                <w:tab w:val="center" w:pos="4153"/>
              </w:tabs>
              <w:spacing w:line="240" w:lineRule="auto"/>
              <w:jc w:val="center"/>
              <w:rPr>
                <w:rFonts w:ascii="Times New Roman" w:hAnsi="Times New Roman"/>
                <w:sz w:val="18"/>
                <w:szCs w:val="18"/>
              </w:rPr>
            </w:pPr>
            <w:r>
              <w:rPr>
                <w:rFonts w:hint="eastAsia" w:ascii="Times New Roman" w:hAnsi="Times New Roman"/>
                <w:sz w:val="18"/>
                <w:szCs w:val="18"/>
              </w:rPr>
              <w:t>发展特色产业</w:t>
            </w:r>
          </w:p>
        </w:tc>
        <w:tc>
          <w:tcPr>
            <w:tcW w:w="2410" w:type="dxa"/>
            <w:tcBorders>
              <w:top w:val="single" w:color="auto" w:sz="4" w:space="0"/>
              <w:left w:val="single" w:color="auto" w:sz="4" w:space="0"/>
              <w:bottom w:val="single" w:color="auto" w:sz="4" w:space="0"/>
              <w:right w:val="single" w:color="auto" w:sz="4" w:space="0"/>
            </w:tcBorders>
            <w:vAlign w:val="center"/>
          </w:tcPr>
          <w:p w14:paraId="2E4A3AD9">
            <w:pPr>
              <w:tabs>
                <w:tab w:val="center" w:pos="4153"/>
              </w:tabs>
              <w:spacing w:line="240" w:lineRule="auto"/>
              <w:rPr>
                <w:rFonts w:ascii="Times New Roman" w:hAnsi="Times New Roman"/>
                <w:sz w:val="18"/>
                <w:szCs w:val="18"/>
              </w:rPr>
            </w:pPr>
            <w:r>
              <w:rPr>
                <w:rFonts w:hint="eastAsia" w:ascii="Times New Roman" w:hAnsi="Times New Roman"/>
                <w:sz w:val="18"/>
                <w:szCs w:val="18"/>
              </w:rPr>
              <w:t>立足片区资源禀赋，以“农业+”链接“文化、旅游、艺术、体育、商业”，发展特色产业。</w:t>
            </w:r>
          </w:p>
        </w:tc>
        <w:tc>
          <w:tcPr>
            <w:tcW w:w="3118" w:type="dxa"/>
            <w:tcBorders>
              <w:top w:val="single" w:color="auto" w:sz="4" w:space="0"/>
              <w:left w:val="single" w:color="auto" w:sz="4" w:space="0"/>
              <w:bottom w:val="single" w:color="auto" w:sz="4" w:space="0"/>
              <w:right w:val="single" w:color="auto" w:sz="4" w:space="0"/>
            </w:tcBorders>
          </w:tcPr>
          <w:p w14:paraId="5FCC989D">
            <w:pPr>
              <w:tabs>
                <w:tab w:val="center" w:pos="4153"/>
              </w:tabs>
              <w:spacing w:line="240" w:lineRule="auto"/>
              <w:rPr>
                <w:rFonts w:ascii="Times New Roman" w:hAnsi="Times New Roman"/>
                <w:sz w:val="18"/>
                <w:szCs w:val="18"/>
              </w:rPr>
            </w:pPr>
            <w:r>
              <w:rPr>
                <w:rFonts w:hint="eastAsia" w:ascii="Times New Roman" w:hAnsi="Times New Roman"/>
                <w:sz w:val="18"/>
                <w:szCs w:val="18"/>
              </w:rPr>
              <w:t>6分：片区围绕“农+文旅艺体</w:t>
            </w:r>
            <w:r>
              <w:rPr>
                <w:rFonts w:hint="eastAsia" w:ascii="Cambria" w:hAnsi="Cambria" w:cs="Cambria"/>
                <w:sz w:val="18"/>
                <w:szCs w:val="18"/>
              </w:rPr>
              <w:t>商</w:t>
            </w:r>
            <w:r>
              <w:rPr>
                <w:rFonts w:hint="eastAsia" w:ascii="Times New Roman" w:hAnsi="Times New Roman"/>
                <w:sz w:val="18"/>
                <w:szCs w:val="18"/>
              </w:rPr>
              <w:t>”形成特色产业；</w:t>
            </w:r>
          </w:p>
          <w:p w14:paraId="3EF34E65">
            <w:pPr>
              <w:tabs>
                <w:tab w:val="center" w:pos="4153"/>
              </w:tabs>
              <w:spacing w:line="240" w:lineRule="auto"/>
              <w:rPr>
                <w:rFonts w:ascii="Times New Roman" w:hAnsi="Times New Roman"/>
                <w:sz w:val="18"/>
                <w:szCs w:val="18"/>
              </w:rPr>
            </w:pPr>
            <w:r>
              <w:rPr>
                <w:rFonts w:hint="eastAsia" w:ascii="Times New Roman" w:hAnsi="Times New Roman"/>
                <w:sz w:val="18"/>
                <w:szCs w:val="18"/>
              </w:rPr>
              <w:t>0-5分：根据上述指标，在优势特色明显程度、是否具有规模化方面，按较好偏上、较好、较好偏下、一般偏上、一般、较差，分别给予5分、4分、3分、2分、1分、0分。</w:t>
            </w:r>
          </w:p>
        </w:tc>
        <w:tc>
          <w:tcPr>
            <w:tcW w:w="851" w:type="dxa"/>
            <w:tcBorders>
              <w:top w:val="single" w:color="auto" w:sz="4" w:space="0"/>
              <w:left w:val="single" w:color="auto" w:sz="4" w:space="0"/>
              <w:bottom w:val="single" w:color="auto" w:sz="4" w:space="0"/>
              <w:right w:val="single" w:color="auto" w:sz="4" w:space="0"/>
            </w:tcBorders>
            <w:vAlign w:val="center"/>
          </w:tcPr>
          <w:p w14:paraId="2CEC49F1">
            <w:pPr>
              <w:tabs>
                <w:tab w:val="center" w:pos="4153"/>
              </w:tabs>
              <w:spacing w:line="240" w:lineRule="auto"/>
              <w:rPr>
                <w:rFonts w:ascii="Times New Roman" w:hAnsi="Times New Roman"/>
                <w:sz w:val="18"/>
                <w:szCs w:val="18"/>
              </w:rPr>
            </w:pPr>
            <w:r>
              <w:rPr>
                <w:rFonts w:hint="eastAsia" w:ascii="Times New Roman" w:hAnsi="Times New Roman"/>
                <w:sz w:val="18"/>
                <w:szCs w:val="18"/>
              </w:rPr>
              <w:t>【0-6】</w:t>
            </w:r>
          </w:p>
        </w:tc>
      </w:tr>
      <w:tr w14:paraId="409B3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2" w:hRule="atLeast"/>
        </w:trPr>
        <w:tc>
          <w:tcPr>
            <w:tcW w:w="738" w:type="dxa"/>
            <w:vMerge w:val="continue"/>
            <w:tcBorders>
              <w:left w:val="single" w:color="auto" w:sz="4" w:space="0"/>
              <w:right w:val="single" w:color="auto" w:sz="4" w:space="0"/>
            </w:tcBorders>
            <w:vAlign w:val="center"/>
          </w:tcPr>
          <w:p w14:paraId="20731662">
            <w:pPr>
              <w:spacing w:line="240" w:lineRule="auto"/>
              <w:jc w:val="center"/>
              <w:rPr>
                <w:rFonts w:ascii="Times New Roman" w:hAnsi="Times New Roman"/>
                <w:sz w:val="18"/>
                <w:szCs w:val="18"/>
              </w:rPr>
            </w:pPr>
          </w:p>
        </w:tc>
        <w:tc>
          <w:tcPr>
            <w:tcW w:w="709" w:type="dxa"/>
            <w:vMerge w:val="continue"/>
            <w:tcBorders>
              <w:left w:val="single" w:color="auto" w:sz="4" w:space="0"/>
              <w:right w:val="single" w:color="auto" w:sz="4" w:space="0"/>
            </w:tcBorders>
            <w:vAlign w:val="center"/>
          </w:tcPr>
          <w:p w14:paraId="7A2E7FF2">
            <w:pPr>
              <w:spacing w:line="240" w:lineRule="auto"/>
              <w:jc w:val="center"/>
              <w:rPr>
                <w:rFonts w:ascii="Times New Roman" w:hAnsi="Times New Roman"/>
                <w:b/>
                <w:bCs/>
                <w:sz w:val="18"/>
                <w:szCs w:val="18"/>
              </w:rPr>
            </w:pPr>
          </w:p>
        </w:tc>
        <w:tc>
          <w:tcPr>
            <w:tcW w:w="1417" w:type="dxa"/>
            <w:tcBorders>
              <w:top w:val="single" w:color="auto" w:sz="4" w:space="0"/>
              <w:left w:val="single" w:color="auto" w:sz="4" w:space="0"/>
              <w:bottom w:val="single" w:color="auto" w:sz="4" w:space="0"/>
              <w:right w:val="single" w:color="auto" w:sz="4" w:space="0"/>
            </w:tcBorders>
            <w:vAlign w:val="center"/>
          </w:tcPr>
          <w:p w14:paraId="64EF58A7">
            <w:pPr>
              <w:tabs>
                <w:tab w:val="center" w:pos="4153"/>
              </w:tabs>
              <w:spacing w:line="240" w:lineRule="auto"/>
              <w:jc w:val="center"/>
              <w:rPr>
                <w:rFonts w:ascii="Times New Roman" w:hAnsi="Times New Roman"/>
                <w:sz w:val="18"/>
                <w:szCs w:val="18"/>
              </w:rPr>
            </w:pPr>
            <w:r>
              <w:rPr>
                <w:rFonts w:hint="eastAsia" w:ascii="Times New Roman" w:hAnsi="Times New Roman"/>
                <w:sz w:val="18"/>
                <w:szCs w:val="18"/>
              </w:rPr>
              <w:t>延伸产业链条</w:t>
            </w:r>
          </w:p>
        </w:tc>
        <w:tc>
          <w:tcPr>
            <w:tcW w:w="2410" w:type="dxa"/>
            <w:tcBorders>
              <w:top w:val="single" w:color="auto" w:sz="4" w:space="0"/>
              <w:left w:val="single" w:color="auto" w:sz="4" w:space="0"/>
              <w:bottom w:val="single" w:color="auto" w:sz="4" w:space="0"/>
              <w:right w:val="single" w:color="auto" w:sz="4" w:space="0"/>
            </w:tcBorders>
            <w:vAlign w:val="center"/>
          </w:tcPr>
          <w:p w14:paraId="3739D488">
            <w:pPr>
              <w:tabs>
                <w:tab w:val="center" w:pos="4153"/>
              </w:tabs>
              <w:spacing w:line="240" w:lineRule="auto"/>
              <w:rPr>
                <w:rFonts w:ascii="Times New Roman" w:hAnsi="Times New Roman"/>
                <w:sz w:val="18"/>
                <w:szCs w:val="18"/>
              </w:rPr>
            </w:pPr>
            <w:r>
              <w:rPr>
                <w:rFonts w:hint="eastAsia" w:ascii="Times New Roman" w:hAnsi="Times New Roman"/>
                <w:sz w:val="18"/>
                <w:szCs w:val="18"/>
              </w:rPr>
              <w:t>围绕特色产业，延伸产业链，推动三产融合发展；从事与产业链相关工作的村民数量及占比、外来务工人数。</w:t>
            </w:r>
          </w:p>
        </w:tc>
        <w:tc>
          <w:tcPr>
            <w:tcW w:w="3118" w:type="dxa"/>
            <w:tcBorders>
              <w:top w:val="single" w:color="auto" w:sz="4" w:space="0"/>
              <w:left w:val="single" w:color="auto" w:sz="4" w:space="0"/>
              <w:bottom w:val="single" w:color="auto" w:sz="4" w:space="0"/>
              <w:right w:val="single" w:color="auto" w:sz="4" w:space="0"/>
            </w:tcBorders>
          </w:tcPr>
          <w:p w14:paraId="3C7E5C7F">
            <w:pPr>
              <w:tabs>
                <w:tab w:val="center" w:pos="4153"/>
              </w:tabs>
              <w:spacing w:line="240" w:lineRule="auto"/>
              <w:rPr>
                <w:rFonts w:ascii="Times New Roman" w:hAnsi="Times New Roman"/>
                <w:sz w:val="18"/>
                <w:szCs w:val="18"/>
              </w:rPr>
            </w:pPr>
            <w:r>
              <w:rPr>
                <w:rFonts w:hint="eastAsia" w:ascii="Times New Roman" w:hAnsi="Times New Roman"/>
                <w:sz w:val="18"/>
                <w:szCs w:val="18"/>
              </w:rPr>
              <w:t>6分：特色产业的产业链长，三产融合程度高，对村民和外来务工人员具有显著带动作用；</w:t>
            </w:r>
          </w:p>
          <w:p w14:paraId="59103712">
            <w:pPr>
              <w:tabs>
                <w:tab w:val="center" w:pos="4153"/>
              </w:tabs>
              <w:spacing w:line="240" w:lineRule="auto"/>
              <w:rPr>
                <w:rFonts w:ascii="Times New Roman" w:hAnsi="Times New Roman"/>
                <w:sz w:val="18"/>
                <w:szCs w:val="18"/>
              </w:rPr>
            </w:pPr>
            <w:r>
              <w:rPr>
                <w:rFonts w:hint="eastAsia" w:ascii="Times New Roman" w:hAnsi="Times New Roman"/>
                <w:sz w:val="18"/>
                <w:szCs w:val="18"/>
              </w:rPr>
              <w:t>0-5分：根据上述指标，在产业链延长程度、三产融合程度以及对村民和外来务工人员的带动性方面，按较好偏上、较好、较好偏下、一般偏上、一般、较差，分别给予5分、4分、3分、2分、1分、0分。</w:t>
            </w:r>
          </w:p>
        </w:tc>
        <w:tc>
          <w:tcPr>
            <w:tcW w:w="851" w:type="dxa"/>
            <w:tcBorders>
              <w:top w:val="single" w:color="auto" w:sz="4" w:space="0"/>
              <w:left w:val="single" w:color="auto" w:sz="4" w:space="0"/>
              <w:bottom w:val="single" w:color="auto" w:sz="4" w:space="0"/>
              <w:right w:val="single" w:color="auto" w:sz="4" w:space="0"/>
            </w:tcBorders>
            <w:vAlign w:val="center"/>
          </w:tcPr>
          <w:p w14:paraId="6F13B8D5">
            <w:pPr>
              <w:tabs>
                <w:tab w:val="center" w:pos="4153"/>
              </w:tabs>
              <w:spacing w:line="240" w:lineRule="auto"/>
              <w:rPr>
                <w:rFonts w:ascii="Times New Roman" w:hAnsi="Times New Roman"/>
                <w:sz w:val="18"/>
                <w:szCs w:val="18"/>
              </w:rPr>
            </w:pPr>
            <w:r>
              <w:rPr>
                <w:rFonts w:hint="eastAsia" w:ascii="Times New Roman" w:hAnsi="Times New Roman"/>
                <w:sz w:val="18"/>
                <w:szCs w:val="18"/>
              </w:rPr>
              <w:t>【0-6】</w:t>
            </w:r>
          </w:p>
        </w:tc>
      </w:tr>
      <w:tr w14:paraId="0500A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trPr>
        <w:tc>
          <w:tcPr>
            <w:tcW w:w="738" w:type="dxa"/>
            <w:vMerge w:val="continue"/>
            <w:tcBorders>
              <w:left w:val="single" w:color="auto" w:sz="4" w:space="0"/>
              <w:right w:val="single" w:color="auto" w:sz="4" w:space="0"/>
            </w:tcBorders>
            <w:vAlign w:val="center"/>
          </w:tcPr>
          <w:p w14:paraId="1DC231FA">
            <w:pPr>
              <w:spacing w:line="240" w:lineRule="auto"/>
              <w:jc w:val="center"/>
              <w:rPr>
                <w:rFonts w:ascii="Times New Roman" w:hAnsi="Times New Roman"/>
                <w:sz w:val="18"/>
                <w:szCs w:val="18"/>
              </w:rPr>
            </w:pPr>
          </w:p>
        </w:tc>
        <w:tc>
          <w:tcPr>
            <w:tcW w:w="709" w:type="dxa"/>
            <w:vMerge w:val="continue"/>
            <w:tcBorders>
              <w:left w:val="single" w:color="auto" w:sz="4" w:space="0"/>
              <w:right w:val="single" w:color="auto" w:sz="4" w:space="0"/>
            </w:tcBorders>
            <w:vAlign w:val="center"/>
          </w:tcPr>
          <w:p w14:paraId="3E0402D6">
            <w:pPr>
              <w:spacing w:line="240" w:lineRule="auto"/>
              <w:jc w:val="center"/>
              <w:rPr>
                <w:rFonts w:ascii="Times New Roman" w:hAnsi="Times New Roman"/>
                <w:b/>
                <w:bCs/>
                <w:sz w:val="18"/>
                <w:szCs w:val="18"/>
              </w:rPr>
            </w:pPr>
          </w:p>
        </w:tc>
        <w:tc>
          <w:tcPr>
            <w:tcW w:w="1417" w:type="dxa"/>
            <w:tcBorders>
              <w:top w:val="single" w:color="auto" w:sz="4" w:space="0"/>
              <w:left w:val="single" w:color="auto" w:sz="4" w:space="0"/>
              <w:bottom w:val="single" w:color="auto" w:sz="4" w:space="0"/>
              <w:right w:val="single" w:color="auto" w:sz="4" w:space="0"/>
            </w:tcBorders>
            <w:vAlign w:val="center"/>
          </w:tcPr>
          <w:p w14:paraId="3AED9C5E">
            <w:pPr>
              <w:tabs>
                <w:tab w:val="center" w:pos="4153"/>
              </w:tabs>
              <w:spacing w:line="240" w:lineRule="auto"/>
              <w:jc w:val="center"/>
              <w:rPr>
                <w:rFonts w:ascii="Times New Roman" w:hAnsi="Times New Roman"/>
                <w:sz w:val="18"/>
                <w:szCs w:val="18"/>
              </w:rPr>
            </w:pPr>
            <w:r>
              <w:rPr>
                <w:rFonts w:hint="eastAsia" w:ascii="Times New Roman" w:hAnsi="Times New Roman"/>
                <w:sz w:val="18"/>
                <w:szCs w:val="18"/>
              </w:rPr>
              <w:t>培育产业品牌</w:t>
            </w:r>
          </w:p>
        </w:tc>
        <w:tc>
          <w:tcPr>
            <w:tcW w:w="2410" w:type="dxa"/>
            <w:tcBorders>
              <w:top w:val="single" w:color="auto" w:sz="4" w:space="0"/>
              <w:left w:val="single" w:color="auto" w:sz="4" w:space="0"/>
              <w:bottom w:val="single" w:color="auto" w:sz="4" w:space="0"/>
              <w:right w:val="single" w:color="auto" w:sz="4" w:space="0"/>
            </w:tcBorders>
            <w:vAlign w:val="center"/>
          </w:tcPr>
          <w:p w14:paraId="489486B5">
            <w:pPr>
              <w:tabs>
                <w:tab w:val="center" w:pos="4153"/>
              </w:tabs>
              <w:spacing w:line="240" w:lineRule="auto"/>
              <w:rPr>
                <w:rFonts w:ascii="Times New Roman" w:hAnsi="Times New Roman"/>
                <w:sz w:val="18"/>
                <w:szCs w:val="18"/>
              </w:rPr>
            </w:pPr>
            <w:r>
              <w:rPr>
                <w:rFonts w:hint="eastAsia" w:ascii="Times New Roman" w:hAnsi="Times New Roman"/>
                <w:sz w:val="18"/>
                <w:szCs w:val="18"/>
              </w:rPr>
              <w:t>围绕特色产业，打造产业品牌，设计品牌形象，应用产品包装及相关品牌传播物料。</w:t>
            </w:r>
          </w:p>
        </w:tc>
        <w:tc>
          <w:tcPr>
            <w:tcW w:w="3118" w:type="dxa"/>
            <w:tcBorders>
              <w:top w:val="single" w:color="auto" w:sz="4" w:space="0"/>
              <w:left w:val="single" w:color="auto" w:sz="4" w:space="0"/>
              <w:bottom w:val="single" w:color="auto" w:sz="4" w:space="0"/>
              <w:right w:val="single" w:color="auto" w:sz="4" w:space="0"/>
            </w:tcBorders>
          </w:tcPr>
          <w:p w14:paraId="0C180CE3">
            <w:pPr>
              <w:tabs>
                <w:tab w:val="center" w:pos="4153"/>
              </w:tabs>
              <w:spacing w:line="240" w:lineRule="auto"/>
              <w:rPr>
                <w:rFonts w:ascii="Times New Roman" w:hAnsi="Times New Roman"/>
                <w:sz w:val="18"/>
                <w:szCs w:val="18"/>
              </w:rPr>
            </w:pPr>
            <w:r>
              <w:rPr>
                <w:rFonts w:hint="eastAsia" w:ascii="Times New Roman" w:hAnsi="Times New Roman"/>
                <w:sz w:val="18"/>
                <w:szCs w:val="18"/>
              </w:rPr>
              <w:t>6分：特色产业在品牌设计、产品包装、物料应用等方面表现优秀；</w:t>
            </w:r>
          </w:p>
          <w:p w14:paraId="31351F80">
            <w:pPr>
              <w:tabs>
                <w:tab w:val="center" w:pos="4153"/>
              </w:tabs>
              <w:spacing w:line="240" w:lineRule="auto"/>
              <w:rPr>
                <w:rFonts w:ascii="Times New Roman" w:hAnsi="Times New Roman"/>
                <w:sz w:val="18"/>
                <w:szCs w:val="18"/>
              </w:rPr>
            </w:pPr>
            <w:r>
              <w:rPr>
                <w:rFonts w:hint="eastAsia" w:ascii="Times New Roman" w:hAnsi="Times New Roman"/>
                <w:sz w:val="18"/>
                <w:szCs w:val="18"/>
              </w:rPr>
              <w:t>0-5分：根据上述指标的表现，按较好偏上、较好、较好偏下、一般偏上、一般、较差，分别给予5分、4分、3分、2分、1分、0分。</w:t>
            </w:r>
          </w:p>
        </w:tc>
        <w:tc>
          <w:tcPr>
            <w:tcW w:w="851" w:type="dxa"/>
            <w:tcBorders>
              <w:top w:val="single" w:color="auto" w:sz="4" w:space="0"/>
              <w:left w:val="single" w:color="auto" w:sz="4" w:space="0"/>
              <w:bottom w:val="single" w:color="auto" w:sz="4" w:space="0"/>
              <w:right w:val="single" w:color="auto" w:sz="4" w:space="0"/>
            </w:tcBorders>
            <w:vAlign w:val="center"/>
          </w:tcPr>
          <w:p w14:paraId="32CC7B53">
            <w:pPr>
              <w:tabs>
                <w:tab w:val="center" w:pos="4153"/>
              </w:tabs>
              <w:spacing w:line="240" w:lineRule="auto"/>
              <w:rPr>
                <w:rFonts w:ascii="Times New Roman" w:hAnsi="Times New Roman"/>
                <w:sz w:val="18"/>
                <w:szCs w:val="18"/>
              </w:rPr>
            </w:pPr>
            <w:r>
              <w:rPr>
                <w:rFonts w:hint="eastAsia" w:ascii="Times New Roman" w:hAnsi="Times New Roman"/>
                <w:sz w:val="18"/>
                <w:szCs w:val="18"/>
              </w:rPr>
              <w:t>【0-6】</w:t>
            </w:r>
          </w:p>
        </w:tc>
      </w:tr>
      <w:tr w14:paraId="1C7FA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trPr>
        <w:tc>
          <w:tcPr>
            <w:tcW w:w="738" w:type="dxa"/>
            <w:vMerge w:val="continue"/>
            <w:tcBorders>
              <w:left w:val="single" w:color="auto" w:sz="4" w:space="0"/>
              <w:right w:val="single" w:color="auto" w:sz="4" w:space="0"/>
            </w:tcBorders>
            <w:vAlign w:val="center"/>
          </w:tcPr>
          <w:p w14:paraId="06525693">
            <w:pPr>
              <w:spacing w:line="240" w:lineRule="auto"/>
              <w:jc w:val="center"/>
              <w:rPr>
                <w:rFonts w:ascii="Times New Roman" w:hAnsi="Times New Roman"/>
                <w:sz w:val="18"/>
                <w:szCs w:val="18"/>
              </w:rPr>
            </w:pPr>
          </w:p>
        </w:tc>
        <w:tc>
          <w:tcPr>
            <w:tcW w:w="709" w:type="dxa"/>
            <w:vMerge w:val="continue"/>
            <w:tcBorders>
              <w:left w:val="single" w:color="auto" w:sz="4" w:space="0"/>
              <w:right w:val="single" w:color="auto" w:sz="4" w:space="0"/>
            </w:tcBorders>
            <w:vAlign w:val="center"/>
          </w:tcPr>
          <w:p w14:paraId="1FCFF5F5">
            <w:pPr>
              <w:spacing w:line="240" w:lineRule="auto"/>
              <w:jc w:val="center"/>
              <w:rPr>
                <w:rFonts w:ascii="Times New Roman" w:hAnsi="Times New Roman"/>
                <w:b/>
                <w:bCs/>
                <w:sz w:val="18"/>
                <w:szCs w:val="18"/>
              </w:rPr>
            </w:pPr>
          </w:p>
        </w:tc>
        <w:tc>
          <w:tcPr>
            <w:tcW w:w="1417" w:type="dxa"/>
            <w:tcBorders>
              <w:top w:val="single" w:color="auto" w:sz="4" w:space="0"/>
              <w:left w:val="single" w:color="auto" w:sz="4" w:space="0"/>
              <w:bottom w:val="single" w:color="auto" w:sz="4" w:space="0"/>
              <w:right w:val="single" w:color="auto" w:sz="4" w:space="0"/>
            </w:tcBorders>
            <w:vAlign w:val="center"/>
          </w:tcPr>
          <w:p w14:paraId="081B8675">
            <w:pPr>
              <w:tabs>
                <w:tab w:val="center" w:pos="4153"/>
              </w:tabs>
              <w:spacing w:line="240" w:lineRule="auto"/>
              <w:jc w:val="center"/>
              <w:rPr>
                <w:rFonts w:ascii="Times New Roman" w:hAnsi="Times New Roman"/>
                <w:sz w:val="18"/>
                <w:szCs w:val="18"/>
              </w:rPr>
            </w:pPr>
            <w:r>
              <w:rPr>
                <w:rFonts w:hint="eastAsia" w:ascii="Times New Roman" w:hAnsi="Times New Roman"/>
                <w:sz w:val="18"/>
                <w:szCs w:val="18"/>
              </w:rPr>
              <w:t>形成产业集群</w:t>
            </w:r>
          </w:p>
        </w:tc>
        <w:tc>
          <w:tcPr>
            <w:tcW w:w="2410" w:type="dxa"/>
            <w:tcBorders>
              <w:top w:val="single" w:color="auto" w:sz="4" w:space="0"/>
              <w:left w:val="single" w:color="auto" w:sz="4" w:space="0"/>
              <w:bottom w:val="single" w:color="auto" w:sz="4" w:space="0"/>
              <w:right w:val="single" w:color="auto" w:sz="4" w:space="0"/>
            </w:tcBorders>
            <w:vAlign w:val="center"/>
          </w:tcPr>
          <w:p w14:paraId="2301F0CD">
            <w:pPr>
              <w:tabs>
                <w:tab w:val="center" w:pos="4153"/>
              </w:tabs>
              <w:spacing w:line="240" w:lineRule="auto"/>
              <w:rPr>
                <w:rFonts w:ascii="Times New Roman" w:hAnsi="Times New Roman"/>
                <w:sz w:val="18"/>
                <w:szCs w:val="18"/>
              </w:rPr>
            </w:pPr>
            <w:r>
              <w:rPr>
                <w:rFonts w:hint="eastAsia" w:ascii="Times New Roman" w:hAnsi="Times New Roman"/>
                <w:sz w:val="18"/>
                <w:szCs w:val="18"/>
              </w:rPr>
              <w:t>片区内的特色产业呈现出一定的产业集聚特征。</w:t>
            </w:r>
          </w:p>
        </w:tc>
        <w:tc>
          <w:tcPr>
            <w:tcW w:w="3118" w:type="dxa"/>
            <w:tcBorders>
              <w:top w:val="single" w:color="auto" w:sz="4" w:space="0"/>
              <w:left w:val="single" w:color="auto" w:sz="4" w:space="0"/>
              <w:bottom w:val="single" w:color="auto" w:sz="4" w:space="0"/>
              <w:right w:val="single" w:color="auto" w:sz="4" w:space="0"/>
            </w:tcBorders>
          </w:tcPr>
          <w:p w14:paraId="32A682F9">
            <w:pPr>
              <w:tabs>
                <w:tab w:val="center" w:pos="4153"/>
              </w:tabs>
              <w:spacing w:line="240" w:lineRule="auto"/>
              <w:rPr>
                <w:rFonts w:ascii="Times New Roman" w:hAnsi="Times New Roman"/>
                <w:sz w:val="18"/>
                <w:szCs w:val="18"/>
              </w:rPr>
            </w:pPr>
            <w:r>
              <w:rPr>
                <w:rFonts w:hint="eastAsia" w:ascii="Times New Roman" w:hAnsi="Times New Roman"/>
                <w:sz w:val="18"/>
                <w:szCs w:val="18"/>
              </w:rPr>
              <w:t>5分：围绕特色产业，片区内呈现明显的产业集群特征；</w:t>
            </w:r>
          </w:p>
          <w:p w14:paraId="3300B4B8">
            <w:pPr>
              <w:tabs>
                <w:tab w:val="center" w:pos="4153"/>
              </w:tabs>
              <w:spacing w:line="240" w:lineRule="auto"/>
              <w:rPr>
                <w:rFonts w:ascii="Times New Roman" w:hAnsi="Times New Roman"/>
                <w:sz w:val="18"/>
                <w:szCs w:val="18"/>
              </w:rPr>
            </w:pPr>
            <w:r>
              <w:rPr>
                <w:rFonts w:hint="eastAsia" w:ascii="Times New Roman" w:hAnsi="Times New Roman"/>
                <w:sz w:val="18"/>
                <w:szCs w:val="18"/>
              </w:rPr>
              <w:t>0-4分：在产业集群特征方面，按较好偏上、较好、一般偏上、一般、较差，分别给予4分、3分、2分、1分、0分。</w:t>
            </w:r>
          </w:p>
        </w:tc>
        <w:tc>
          <w:tcPr>
            <w:tcW w:w="851" w:type="dxa"/>
            <w:tcBorders>
              <w:top w:val="single" w:color="auto" w:sz="4" w:space="0"/>
              <w:left w:val="single" w:color="auto" w:sz="4" w:space="0"/>
              <w:bottom w:val="single" w:color="auto" w:sz="4" w:space="0"/>
              <w:right w:val="single" w:color="auto" w:sz="4" w:space="0"/>
            </w:tcBorders>
            <w:vAlign w:val="center"/>
          </w:tcPr>
          <w:p w14:paraId="51E4A1D5">
            <w:pPr>
              <w:tabs>
                <w:tab w:val="center" w:pos="4153"/>
              </w:tabs>
              <w:spacing w:line="240" w:lineRule="auto"/>
              <w:rPr>
                <w:rFonts w:ascii="Times New Roman" w:hAnsi="Times New Roman"/>
                <w:sz w:val="18"/>
                <w:szCs w:val="18"/>
              </w:rPr>
            </w:pPr>
            <w:r>
              <w:rPr>
                <w:rFonts w:hint="eastAsia" w:ascii="Times New Roman" w:hAnsi="Times New Roman"/>
                <w:sz w:val="18"/>
                <w:szCs w:val="18"/>
              </w:rPr>
              <w:t>【0-5】</w:t>
            </w:r>
          </w:p>
        </w:tc>
      </w:tr>
      <w:tr w14:paraId="78E61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trPr>
        <w:tc>
          <w:tcPr>
            <w:tcW w:w="738" w:type="dxa"/>
            <w:vMerge w:val="continue"/>
            <w:tcBorders>
              <w:left w:val="single" w:color="auto" w:sz="4" w:space="0"/>
              <w:right w:val="single" w:color="auto" w:sz="4" w:space="0"/>
            </w:tcBorders>
            <w:vAlign w:val="center"/>
          </w:tcPr>
          <w:p w14:paraId="686035FF">
            <w:pPr>
              <w:spacing w:line="240" w:lineRule="auto"/>
              <w:jc w:val="center"/>
              <w:rPr>
                <w:rFonts w:ascii="Times New Roman" w:hAnsi="Times New Roman"/>
                <w:sz w:val="18"/>
                <w:szCs w:val="18"/>
              </w:rPr>
            </w:pPr>
          </w:p>
        </w:tc>
        <w:tc>
          <w:tcPr>
            <w:tcW w:w="709" w:type="dxa"/>
            <w:vMerge w:val="restart"/>
            <w:tcBorders>
              <w:top w:val="single" w:color="auto" w:sz="4" w:space="0"/>
              <w:left w:val="single" w:color="auto" w:sz="4" w:space="0"/>
              <w:right w:val="single" w:color="auto" w:sz="4" w:space="0"/>
            </w:tcBorders>
            <w:vAlign w:val="center"/>
          </w:tcPr>
          <w:p w14:paraId="4E0467F4">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18"/>
                <w:szCs w:val="18"/>
              </w:rPr>
            </w:pPr>
            <w:r>
              <w:rPr>
                <w:rFonts w:ascii="Times New Roman" w:hAnsi="Times New Roman" w:cs="Times New Roman"/>
                <w:b/>
                <w:bCs/>
                <w:kern w:val="2"/>
                <w:sz w:val="18"/>
                <w:szCs w:val="18"/>
              </w:rPr>
              <w:t>品牌</w:t>
            </w:r>
            <w:r>
              <w:rPr>
                <w:rFonts w:hint="eastAsia" w:ascii="Times New Roman" w:hAnsi="Times New Roman" w:cs="Times New Roman"/>
                <w:b/>
                <w:bCs/>
                <w:kern w:val="2"/>
                <w:sz w:val="18"/>
                <w:szCs w:val="18"/>
              </w:rPr>
              <w:t>共创</w:t>
            </w:r>
          </w:p>
        </w:tc>
        <w:tc>
          <w:tcPr>
            <w:tcW w:w="1417" w:type="dxa"/>
            <w:tcBorders>
              <w:top w:val="single" w:color="auto" w:sz="4" w:space="0"/>
              <w:left w:val="single" w:color="auto" w:sz="4" w:space="0"/>
              <w:bottom w:val="single" w:color="auto" w:sz="4" w:space="0"/>
              <w:right w:val="single" w:color="auto" w:sz="4" w:space="0"/>
            </w:tcBorders>
            <w:vAlign w:val="center"/>
          </w:tcPr>
          <w:p w14:paraId="1A14E032">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塑造片区品牌</w:t>
            </w:r>
          </w:p>
        </w:tc>
        <w:tc>
          <w:tcPr>
            <w:tcW w:w="2410" w:type="dxa"/>
            <w:tcBorders>
              <w:top w:val="single" w:color="auto" w:sz="4" w:space="0"/>
              <w:left w:val="single" w:color="auto" w:sz="4" w:space="0"/>
              <w:bottom w:val="single" w:color="auto" w:sz="4" w:space="0"/>
              <w:right w:val="single" w:color="auto" w:sz="4" w:space="0"/>
            </w:tcBorders>
            <w:vAlign w:val="center"/>
          </w:tcPr>
          <w:p w14:paraId="2DE9AEDD">
            <w:pPr>
              <w:snapToGrid w:val="0"/>
              <w:spacing w:line="240" w:lineRule="auto"/>
              <w:jc w:val="left"/>
              <w:rPr>
                <w:rFonts w:ascii="Times New Roman" w:hAnsi="Times New Roman"/>
                <w:sz w:val="18"/>
                <w:szCs w:val="18"/>
              </w:rPr>
            </w:pPr>
            <w:r>
              <w:rPr>
                <w:rFonts w:hint="eastAsia" w:ascii="Times New Roman" w:hAnsi="Times New Roman"/>
                <w:sz w:val="18"/>
                <w:szCs w:val="18"/>
              </w:rPr>
              <w:t>片区有完整、系统、统一的品牌规划与设计；有清晰的品牌定位和品牌核心价值。</w:t>
            </w:r>
          </w:p>
        </w:tc>
        <w:tc>
          <w:tcPr>
            <w:tcW w:w="3118" w:type="dxa"/>
            <w:tcBorders>
              <w:top w:val="single" w:color="auto" w:sz="4" w:space="0"/>
              <w:left w:val="single" w:color="auto" w:sz="4" w:space="0"/>
              <w:bottom w:val="single" w:color="auto" w:sz="4" w:space="0"/>
              <w:right w:val="single" w:color="auto" w:sz="4" w:space="0"/>
            </w:tcBorders>
          </w:tcPr>
          <w:p w14:paraId="27455FBD">
            <w:pPr>
              <w:snapToGrid w:val="0"/>
              <w:spacing w:line="240" w:lineRule="auto"/>
              <w:jc w:val="left"/>
              <w:rPr>
                <w:rFonts w:ascii="Times New Roman" w:hAnsi="Times New Roman"/>
                <w:sz w:val="18"/>
                <w:szCs w:val="18"/>
              </w:rPr>
            </w:pPr>
            <w:r>
              <w:rPr>
                <w:rFonts w:hint="eastAsia" w:ascii="Times New Roman" w:hAnsi="Times New Roman"/>
                <w:sz w:val="18"/>
                <w:szCs w:val="18"/>
              </w:rPr>
              <w:t>5分：系统完整的片区品牌规划与设计，品牌定位清晰，凸显片区独特的核心价值；</w:t>
            </w:r>
          </w:p>
          <w:p w14:paraId="51AF2504">
            <w:pPr>
              <w:snapToGrid w:val="0"/>
              <w:spacing w:line="240" w:lineRule="auto"/>
              <w:jc w:val="left"/>
              <w:rPr>
                <w:rFonts w:ascii="Times New Roman" w:hAnsi="Times New Roman"/>
                <w:sz w:val="18"/>
                <w:szCs w:val="18"/>
              </w:rPr>
            </w:pPr>
            <w:r>
              <w:rPr>
                <w:rFonts w:hint="eastAsia" w:ascii="Times New Roman" w:hAnsi="Times New Roman"/>
                <w:sz w:val="18"/>
                <w:szCs w:val="18"/>
              </w:rPr>
              <w:t>0-4分：根据上述指标的评价要件是否齐全、是否完成、是否具有独特性，按较好偏上、较好、较好偏下、一般、较差，分别给予4分、3分、2分、1分、0分。</w:t>
            </w:r>
          </w:p>
        </w:tc>
        <w:tc>
          <w:tcPr>
            <w:tcW w:w="851" w:type="dxa"/>
            <w:tcBorders>
              <w:top w:val="single" w:color="auto" w:sz="4" w:space="0"/>
              <w:left w:val="single" w:color="auto" w:sz="4" w:space="0"/>
              <w:bottom w:val="single" w:color="auto" w:sz="4" w:space="0"/>
              <w:right w:val="single" w:color="auto" w:sz="4" w:space="0"/>
            </w:tcBorders>
            <w:vAlign w:val="center"/>
          </w:tcPr>
          <w:p w14:paraId="59126C31">
            <w:pPr>
              <w:snapToGrid w:val="0"/>
              <w:spacing w:line="240" w:lineRule="auto"/>
              <w:jc w:val="left"/>
              <w:rPr>
                <w:rFonts w:ascii="Times New Roman" w:hAnsi="Times New Roman"/>
                <w:sz w:val="18"/>
                <w:szCs w:val="18"/>
              </w:rPr>
            </w:pPr>
            <w:r>
              <w:rPr>
                <w:rFonts w:hint="eastAsia" w:ascii="Times New Roman" w:hAnsi="Times New Roman"/>
                <w:sz w:val="18"/>
                <w:szCs w:val="18"/>
              </w:rPr>
              <w:t>【0-5】</w:t>
            </w:r>
          </w:p>
        </w:tc>
      </w:tr>
      <w:tr w14:paraId="133B2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trPr>
        <w:tc>
          <w:tcPr>
            <w:tcW w:w="738" w:type="dxa"/>
            <w:vMerge w:val="continue"/>
            <w:tcBorders>
              <w:left w:val="single" w:color="auto" w:sz="4" w:space="0"/>
              <w:right w:val="single" w:color="auto" w:sz="4" w:space="0"/>
            </w:tcBorders>
            <w:vAlign w:val="center"/>
          </w:tcPr>
          <w:p w14:paraId="6AAAE263">
            <w:pPr>
              <w:spacing w:line="240" w:lineRule="auto"/>
              <w:jc w:val="center"/>
              <w:rPr>
                <w:rFonts w:ascii="Times New Roman" w:hAnsi="Times New Roman"/>
                <w:sz w:val="18"/>
                <w:szCs w:val="18"/>
              </w:rPr>
            </w:pPr>
          </w:p>
        </w:tc>
        <w:tc>
          <w:tcPr>
            <w:tcW w:w="709" w:type="dxa"/>
            <w:vMerge w:val="continue"/>
            <w:tcBorders>
              <w:top w:val="single" w:color="auto" w:sz="4" w:space="0"/>
              <w:left w:val="single" w:color="auto" w:sz="4" w:space="0"/>
              <w:right w:val="single" w:color="auto" w:sz="4" w:space="0"/>
            </w:tcBorders>
            <w:vAlign w:val="center"/>
          </w:tcPr>
          <w:p w14:paraId="38BBE4C7">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18"/>
                <w:szCs w:val="18"/>
              </w:rPr>
            </w:pPr>
          </w:p>
        </w:tc>
        <w:tc>
          <w:tcPr>
            <w:tcW w:w="1417" w:type="dxa"/>
            <w:tcBorders>
              <w:top w:val="single" w:color="auto" w:sz="4" w:space="0"/>
              <w:left w:val="single" w:color="auto" w:sz="4" w:space="0"/>
              <w:bottom w:val="single" w:color="auto" w:sz="4" w:space="0"/>
              <w:right w:val="single" w:color="auto" w:sz="4" w:space="0"/>
            </w:tcBorders>
            <w:vAlign w:val="center"/>
          </w:tcPr>
          <w:p w14:paraId="1B4486F4">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保护知识产权</w:t>
            </w:r>
          </w:p>
        </w:tc>
        <w:tc>
          <w:tcPr>
            <w:tcW w:w="2410" w:type="dxa"/>
            <w:tcBorders>
              <w:top w:val="single" w:color="auto" w:sz="4" w:space="0"/>
              <w:left w:val="single" w:color="auto" w:sz="4" w:space="0"/>
              <w:bottom w:val="single" w:color="auto" w:sz="4" w:space="0"/>
              <w:right w:val="single" w:color="auto" w:sz="4" w:space="0"/>
            </w:tcBorders>
            <w:vAlign w:val="center"/>
          </w:tcPr>
          <w:p w14:paraId="2EF9FE42">
            <w:pPr>
              <w:snapToGrid w:val="0"/>
              <w:spacing w:line="240" w:lineRule="auto"/>
              <w:jc w:val="left"/>
              <w:rPr>
                <w:rFonts w:ascii="Times New Roman" w:hAnsi="Times New Roman"/>
                <w:sz w:val="18"/>
                <w:szCs w:val="18"/>
              </w:rPr>
            </w:pPr>
            <w:r>
              <w:rPr>
                <w:rFonts w:hint="eastAsia" w:ascii="Times New Roman" w:hAnsi="Times New Roman"/>
                <w:sz w:val="18"/>
                <w:szCs w:val="18"/>
              </w:rPr>
              <w:t>对片区品牌</w:t>
            </w:r>
            <w:r>
              <w:rPr>
                <w:rFonts w:ascii="Times New Roman" w:hAnsi="Times New Roman"/>
                <w:sz w:val="18"/>
                <w:szCs w:val="18"/>
              </w:rPr>
              <w:t>logo</w:t>
            </w:r>
            <w:r>
              <w:rPr>
                <w:rFonts w:hint="eastAsia" w:ascii="Times New Roman" w:hAnsi="Times New Roman"/>
                <w:sz w:val="18"/>
                <w:szCs w:val="18"/>
              </w:rPr>
              <w:t>、品牌名称等进行商标注册；对未能注册的文字和图形图像进行版权登记保护。</w:t>
            </w:r>
          </w:p>
        </w:tc>
        <w:tc>
          <w:tcPr>
            <w:tcW w:w="3118" w:type="dxa"/>
            <w:tcBorders>
              <w:top w:val="single" w:color="auto" w:sz="4" w:space="0"/>
              <w:left w:val="single" w:color="auto" w:sz="4" w:space="0"/>
              <w:bottom w:val="single" w:color="auto" w:sz="4" w:space="0"/>
              <w:right w:val="single" w:color="auto" w:sz="4" w:space="0"/>
            </w:tcBorders>
          </w:tcPr>
          <w:p w14:paraId="1F7B8D49">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2分：对片区品牌logo、品牌名称进行商标注册；</w:t>
            </w:r>
          </w:p>
          <w:p w14:paraId="6292A9DD">
            <w:pPr>
              <w:snapToGrid w:val="0"/>
              <w:spacing w:line="240" w:lineRule="auto"/>
              <w:jc w:val="left"/>
              <w:rPr>
                <w:rFonts w:ascii="Times New Roman" w:hAnsi="Times New Roman"/>
                <w:sz w:val="18"/>
                <w:szCs w:val="18"/>
              </w:rPr>
            </w:pPr>
            <w:r>
              <w:rPr>
                <w:rFonts w:hint="eastAsia" w:ascii="Times New Roman" w:hAnsi="Times New Roman"/>
                <w:sz w:val="18"/>
                <w:szCs w:val="18"/>
              </w:rPr>
              <w:t>1分：对片区品牌logo、品牌名称进行文字和图形图像版权登记保护；</w:t>
            </w:r>
          </w:p>
          <w:p w14:paraId="479BE59F">
            <w:pPr>
              <w:snapToGrid w:val="0"/>
              <w:spacing w:line="240" w:lineRule="auto"/>
              <w:jc w:val="left"/>
              <w:rPr>
                <w:rFonts w:ascii="Times New Roman" w:hAnsi="Times New Roman"/>
                <w:sz w:val="18"/>
                <w:szCs w:val="18"/>
              </w:rPr>
            </w:pPr>
            <w:r>
              <w:rPr>
                <w:rFonts w:hint="eastAsia" w:ascii="Times New Roman" w:hAnsi="Times New Roman"/>
                <w:sz w:val="18"/>
                <w:szCs w:val="18"/>
              </w:rPr>
              <w:t>0分：以上均无。</w:t>
            </w:r>
          </w:p>
        </w:tc>
        <w:tc>
          <w:tcPr>
            <w:tcW w:w="851" w:type="dxa"/>
            <w:tcBorders>
              <w:top w:val="single" w:color="auto" w:sz="4" w:space="0"/>
              <w:left w:val="single" w:color="auto" w:sz="4" w:space="0"/>
              <w:bottom w:val="single" w:color="auto" w:sz="4" w:space="0"/>
              <w:right w:val="single" w:color="auto" w:sz="4" w:space="0"/>
            </w:tcBorders>
            <w:vAlign w:val="center"/>
          </w:tcPr>
          <w:p w14:paraId="42C4CEB7">
            <w:pPr>
              <w:snapToGrid w:val="0"/>
              <w:spacing w:line="240" w:lineRule="auto"/>
              <w:jc w:val="left"/>
              <w:rPr>
                <w:rFonts w:ascii="Times New Roman" w:hAnsi="Times New Roman"/>
                <w:sz w:val="18"/>
                <w:szCs w:val="18"/>
              </w:rPr>
            </w:pPr>
            <w:r>
              <w:rPr>
                <w:rFonts w:hint="eastAsia" w:ascii="Times New Roman" w:hAnsi="Times New Roman"/>
                <w:sz w:val="18"/>
                <w:szCs w:val="18"/>
              </w:rPr>
              <w:t>【0-2】</w:t>
            </w:r>
          </w:p>
        </w:tc>
      </w:tr>
      <w:tr w14:paraId="4D148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738" w:type="dxa"/>
            <w:vMerge w:val="continue"/>
            <w:tcBorders>
              <w:left w:val="single" w:color="auto" w:sz="4" w:space="0"/>
              <w:right w:val="single" w:color="auto" w:sz="4" w:space="0"/>
            </w:tcBorders>
            <w:vAlign w:val="center"/>
          </w:tcPr>
          <w:p w14:paraId="2F5F4C00">
            <w:pPr>
              <w:spacing w:line="240" w:lineRule="auto"/>
              <w:jc w:val="center"/>
              <w:rPr>
                <w:rFonts w:ascii="Times New Roman" w:hAnsi="Times New Roman"/>
                <w:sz w:val="18"/>
                <w:szCs w:val="18"/>
              </w:rPr>
            </w:pPr>
          </w:p>
        </w:tc>
        <w:tc>
          <w:tcPr>
            <w:tcW w:w="709" w:type="dxa"/>
            <w:vMerge w:val="continue"/>
            <w:tcBorders>
              <w:left w:val="single" w:color="auto" w:sz="4" w:space="0"/>
              <w:right w:val="single" w:color="auto" w:sz="4" w:space="0"/>
            </w:tcBorders>
            <w:vAlign w:val="center"/>
          </w:tcPr>
          <w:p w14:paraId="75F362F4">
            <w:pPr>
              <w:spacing w:line="240" w:lineRule="auto"/>
              <w:jc w:val="center"/>
              <w:rPr>
                <w:rFonts w:ascii="Times New Roman" w:hAnsi="Times New Roman"/>
                <w:b/>
                <w:bCs/>
                <w:sz w:val="18"/>
                <w:szCs w:val="18"/>
              </w:rPr>
            </w:pPr>
          </w:p>
        </w:tc>
        <w:tc>
          <w:tcPr>
            <w:tcW w:w="1417" w:type="dxa"/>
            <w:tcBorders>
              <w:top w:val="single" w:color="auto" w:sz="4" w:space="0"/>
              <w:left w:val="single" w:color="auto" w:sz="4" w:space="0"/>
              <w:bottom w:val="single" w:color="auto" w:sz="4" w:space="0"/>
              <w:right w:val="single" w:color="auto" w:sz="4" w:space="0"/>
            </w:tcBorders>
            <w:vAlign w:val="center"/>
          </w:tcPr>
          <w:p w14:paraId="15282B5F">
            <w:pPr>
              <w:tabs>
                <w:tab w:val="center" w:pos="4153"/>
              </w:tabs>
              <w:spacing w:line="240" w:lineRule="auto"/>
              <w:jc w:val="center"/>
              <w:rPr>
                <w:rFonts w:ascii="Times New Roman" w:hAnsi="Times New Roman"/>
                <w:sz w:val="18"/>
                <w:szCs w:val="18"/>
              </w:rPr>
            </w:pPr>
            <w:r>
              <w:rPr>
                <w:rFonts w:hint="eastAsia" w:ascii="Times New Roman" w:hAnsi="Times New Roman"/>
                <w:sz w:val="18"/>
                <w:szCs w:val="18"/>
              </w:rPr>
              <w:t>建构母子品牌</w:t>
            </w:r>
          </w:p>
        </w:tc>
        <w:tc>
          <w:tcPr>
            <w:tcW w:w="2410" w:type="dxa"/>
            <w:tcBorders>
              <w:top w:val="single" w:color="auto" w:sz="4" w:space="0"/>
              <w:left w:val="single" w:color="auto" w:sz="4" w:space="0"/>
              <w:bottom w:val="single" w:color="auto" w:sz="4" w:space="0"/>
              <w:right w:val="single" w:color="auto" w:sz="4" w:space="0"/>
            </w:tcBorders>
            <w:vAlign w:val="center"/>
          </w:tcPr>
          <w:p w14:paraId="4114913C">
            <w:pPr>
              <w:snapToGrid w:val="0"/>
              <w:spacing w:line="240" w:lineRule="auto"/>
              <w:jc w:val="left"/>
              <w:rPr>
                <w:rFonts w:ascii="Times New Roman" w:hAnsi="Times New Roman"/>
                <w:sz w:val="18"/>
                <w:szCs w:val="18"/>
              </w:rPr>
            </w:pPr>
            <w:r>
              <w:rPr>
                <w:rFonts w:hint="eastAsia" w:ascii="Times New Roman" w:hAnsi="Times New Roman"/>
                <w:sz w:val="18"/>
                <w:szCs w:val="18"/>
              </w:rPr>
              <w:t>片区品牌与片区内的产业品牌、各村庄品牌、民俗节庆品牌等形成统分结合的母子品牌结构。</w:t>
            </w:r>
          </w:p>
        </w:tc>
        <w:tc>
          <w:tcPr>
            <w:tcW w:w="3118" w:type="dxa"/>
            <w:tcBorders>
              <w:top w:val="single" w:color="auto" w:sz="4" w:space="0"/>
              <w:left w:val="single" w:color="auto" w:sz="4" w:space="0"/>
              <w:bottom w:val="single" w:color="auto" w:sz="4" w:space="0"/>
              <w:right w:val="single" w:color="auto" w:sz="4" w:space="0"/>
            </w:tcBorders>
          </w:tcPr>
          <w:p w14:paraId="7C672AB2">
            <w:pPr>
              <w:snapToGrid w:val="0"/>
              <w:spacing w:line="240" w:lineRule="auto"/>
              <w:jc w:val="left"/>
              <w:rPr>
                <w:rFonts w:ascii="Times New Roman" w:hAnsi="Times New Roman"/>
                <w:sz w:val="18"/>
                <w:szCs w:val="18"/>
              </w:rPr>
            </w:pPr>
            <w:r>
              <w:rPr>
                <w:rFonts w:hint="eastAsia" w:ascii="Times New Roman" w:hAnsi="Times New Roman"/>
                <w:sz w:val="18"/>
                <w:szCs w:val="18"/>
              </w:rPr>
              <w:t>5分：片区品牌与片区内产业、各村庄、民俗等形成相互赋能、统分结合的母子品牌结构；</w:t>
            </w:r>
          </w:p>
          <w:p w14:paraId="7DD2D585">
            <w:pPr>
              <w:snapToGrid w:val="0"/>
              <w:spacing w:line="240" w:lineRule="auto"/>
              <w:jc w:val="left"/>
              <w:rPr>
                <w:rFonts w:ascii="Times New Roman" w:hAnsi="Times New Roman"/>
                <w:sz w:val="18"/>
                <w:szCs w:val="18"/>
              </w:rPr>
            </w:pPr>
            <w:r>
              <w:rPr>
                <w:rFonts w:hint="eastAsia" w:ascii="Times New Roman" w:hAnsi="Times New Roman"/>
                <w:sz w:val="18"/>
                <w:szCs w:val="18"/>
              </w:rPr>
              <w:t>0-4分：根据上述指标结合度、清晰度和完成度，按较好偏上、较好、较好偏下、一般、较差，分别给予4分、3分、2分、1分、0分。</w:t>
            </w:r>
          </w:p>
        </w:tc>
        <w:tc>
          <w:tcPr>
            <w:tcW w:w="851" w:type="dxa"/>
            <w:tcBorders>
              <w:top w:val="single" w:color="auto" w:sz="4" w:space="0"/>
              <w:left w:val="single" w:color="auto" w:sz="4" w:space="0"/>
              <w:bottom w:val="single" w:color="auto" w:sz="4" w:space="0"/>
              <w:right w:val="single" w:color="auto" w:sz="4" w:space="0"/>
            </w:tcBorders>
            <w:vAlign w:val="center"/>
          </w:tcPr>
          <w:p w14:paraId="0F4A0EDD">
            <w:pPr>
              <w:snapToGrid w:val="0"/>
              <w:spacing w:line="240" w:lineRule="auto"/>
              <w:jc w:val="left"/>
              <w:rPr>
                <w:rFonts w:ascii="Times New Roman" w:hAnsi="Times New Roman"/>
                <w:sz w:val="18"/>
                <w:szCs w:val="18"/>
              </w:rPr>
            </w:pPr>
            <w:r>
              <w:rPr>
                <w:rFonts w:hint="eastAsia" w:ascii="Times New Roman" w:hAnsi="Times New Roman"/>
                <w:sz w:val="18"/>
                <w:szCs w:val="18"/>
              </w:rPr>
              <w:t>【0-5】</w:t>
            </w:r>
          </w:p>
        </w:tc>
      </w:tr>
      <w:tr w14:paraId="0CE21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738" w:type="dxa"/>
            <w:vMerge w:val="continue"/>
            <w:tcBorders>
              <w:left w:val="single" w:color="auto" w:sz="4" w:space="0"/>
              <w:right w:val="single" w:color="auto" w:sz="4" w:space="0"/>
            </w:tcBorders>
            <w:vAlign w:val="center"/>
          </w:tcPr>
          <w:p w14:paraId="288D033D">
            <w:pPr>
              <w:spacing w:line="240" w:lineRule="auto"/>
              <w:jc w:val="center"/>
              <w:rPr>
                <w:rFonts w:ascii="Times New Roman" w:hAnsi="Times New Roman"/>
                <w:sz w:val="18"/>
                <w:szCs w:val="18"/>
              </w:rPr>
            </w:pPr>
          </w:p>
        </w:tc>
        <w:tc>
          <w:tcPr>
            <w:tcW w:w="709" w:type="dxa"/>
            <w:vMerge w:val="continue"/>
            <w:tcBorders>
              <w:left w:val="single" w:color="auto" w:sz="4" w:space="0"/>
              <w:right w:val="single" w:color="auto" w:sz="4" w:space="0"/>
            </w:tcBorders>
            <w:vAlign w:val="center"/>
          </w:tcPr>
          <w:p w14:paraId="44C214A0">
            <w:pPr>
              <w:spacing w:line="240" w:lineRule="auto"/>
              <w:jc w:val="center"/>
              <w:rPr>
                <w:rFonts w:ascii="Times New Roman" w:hAnsi="Times New Roman"/>
                <w:b/>
                <w:bCs/>
                <w:sz w:val="18"/>
                <w:szCs w:val="18"/>
              </w:rPr>
            </w:pPr>
          </w:p>
        </w:tc>
        <w:tc>
          <w:tcPr>
            <w:tcW w:w="1417" w:type="dxa"/>
            <w:tcBorders>
              <w:top w:val="single" w:color="auto" w:sz="4" w:space="0"/>
              <w:left w:val="single" w:color="auto" w:sz="4" w:space="0"/>
              <w:bottom w:val="single" w:color="auto" w:sz="4" w:space="0"/>
              <w:right w:val="single" w:color="auto" w:sz="4" w:space="0"/>
            </w:tcBorders>
            <w:vAlign w:val="center"/>
          </w:tcPr>
          <w:p w14:paraId="649E1351">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落地品牌视觉</w:t>
            </w:r>
          </w:p>
        </w:tc>
        <w:tc>
          <w:tcPr>
            <w:tcW w:w="2410" w:type="dxa"/>
            <w:tcBorders>
              <w:top w:val="single" w:color="auto" w:sz="4" w:space="0"/>
              <w:left w:val="single" w:color="auto" w:sz="4" w:space="0"/>
              <w:bottom w:val="single" w:color="auto" w:sz="4" w:space="0"/>
              <w:right w:val="single" w:color="auto" w:sz="4" w:space="0"/>
            </w:tcBorders>
            <w:vAlign w:val="center"/>
          </w:tcPr>
          <w:p w14:paraId="1F57F86C">
            <w:pPr>
              <w:pStyle w:val="6"/>
              <w:tabs>
                <w:tab w:val="center" w:pos="4201"/>
                <w:tab w:val="right" w:leader="dot" w:pos="9298"/>
              </w:tabs>
              <w:autoSpaceDE w:val="0"/>
              <w:autoSpaceDN w:val="0"/>
              <w:spacing w:before="0" w:beforeAutospacing="0" w:after="0" w:afterAutospacing="0"/>
              <w:jc w:val="both"/>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片区品牌在产品包装、村容风貌、业态场景、导视系统、民俗节庆等方面的应用情况。</w:t>
            </w:r>
          </w:p>
        </w:tc>
        <w:tc>
          <w:tcPr>
            <w:tcW w:w="3118" w:type="dxa"/>
            <w:tcBorders>
              <w:top w:val="single" w:color="auto" w:sz="4" w:space="0"/>
              <w:left w:val="single" w:color="auto" w:sz="4" w:space="0"/>
              <w:bottom w:val="single" w:color="auto" w:sz="4" w:space="0"/>
              <w:right w:val="single" w:color="auto" w:sz="4" w:space="0"/>
            </w:tcBorders>
          </w:tcPr>
          <w:p w14:paraId="4A7D3DE9">
            <w:pPr>
              <w:snapToGrid w:val="0"/>
              <w:spacing w:line="240" w:lineRule="auto"/>
              <w:jc w:val="left"/>
              <w:rPr>
                <w:rFonts w:ascii="Times New Roman" w:hAnsi="Times New Roman"/>
                <w:sz w:val="18"/>
                <w:szCs w:val="18"/>
              </w:rPr>
            </w:pPr>
            <w:r>
              <w:rPr>
                <w:rFonts w:hint="eastAsia" w:ascii="Times New Roman" w:hAnsi="Times New Roman"/>
                <w:sz w:val="18"/>
                <w:szCs w:val="18"/>
              </w:rPr>
              <w:t>5分：片区品牌在</w:t>
            </w:r>
            <w:r>
              <w:rPr>
                <w:rFonts w:hint="eastAsia" w:ascii="Times New Roman" w:hAnsi="Times New Roman"/>
                <w:color w:val="000000" w:themeColor="text1"/>
                <w:sz w:val="18"/>
                <w:szCs w:val="18"/>
                <w14:textFill>
                  <w14:solidFill>
                    <w14:schemeClr w14:val="tx1"/>
                  </w14:solidFill>
                </w14:textFill>
              </w:rPr>
              <w:t>产品包装、村容风貌、业态场景、导视系统、民俗节庆等场景中广泛应用，效果显著</w:t>
            </w:r>
            <w:r>
              <w:rPr>
                <w:rFonts w:hint="eastAsia" w:ascii="Times New Roman" w:hAnsi="Times New Roman"/>
                <w:sz w:val="18"/>
                <w:szCs w:val="18"/>
              </w:rPr>
              <w:t>；</w:t>
            </w:r>
          </w:p>
          <w:p w14:paraId="37D6403D">
            <w:pPr>
              <w:pStyle w:val="6"/>
              <w:tabs>
                <w:tab w:val="center" w:pos="4201"/>
                <w:tab w:val="right" w:leader="dot" w:pos="9298"/>
              </w:tabs>
              <w:autoSpaceDE w:val="0"/>
              <w:autoSpaceDN w:val="0"/>
              <w:spacing w:before="0" w:beforeAutospacing="0" w:after="0" w:afterAutospacing="0"/>
              <w:jc w:val="both"/>
              <w:rPr>
                <w:rFonts w:ascii="Times New Roman" w:hAnsi="Times New Roman"/>
                <w:color w:val="000000" w:themeColor="text1"/>
                <w:sz w:val="18"/>
                <w:szCs w:val="18"/>
                <w14:textFill>
                  <w14:solidFill>
                    <w14:schemeClr w14:val="tx1"/>
                  </w14:solidFill>
                </w14:textFill>
              </w:rPr>
            </w:pPr>
            <w:r>
              <w:rPr>
                <w:rFonts w:hint="eastAsia" w:ascii="Times New Roman" w:hAnsi="Times New Roman"/>
                <w:sz w:val="18"/>
                <w:szCs w:val="18"/>
              </w:rPr>
              <w:t>0-4分：根据上述指标的应用程度和效果，按较好偏上、较好、较好偏下、一般、较差，分别给予4分、3分、</w:t>
            </w:r>
            <w:r>
              <w:rPr>
                <w:rFonts w:hint="eastAsia" w:ascii="Times New Roman" w:hAnsi="Times New Roman" w:cs="Times New Roman"/>
                <w:kern w:val="2"/>
                <w:sz w:val="18"/>
                <w:szCs w:val="18"/>
              </w:rPr>
              <w:t>2分、1分、0分</w:t>
            </w:r>
            <w:r>
              <w:rPr>
                <w:rFonts w:hint="eastAsia" w:ascii="Times New Roman" w:hAnsi="Times New Roman"/>
                <w:sz w:val="18"/>
                <w:szCs w:val="18"/>
              </w:rPr>
              <w:t>。</w:t>
            </w:r>
          </w:p>
        </w:tc>
        <w:tc>
          <w:tcPr>
            <w:tcW w:w="851" w:type="dxa"/>
            <w:tcBorders>
              <w:top w:val="single" w:color="auto" w:sz="4" w:space="0"/>
              <w:left w:val="single" w:color="auto" w:sz="4" w:space="0"/>
              <w:bottom w:val="single" w:color="auto" w:sz="4" w:space="0"/>
              <w:right w:val="single" w:color="auto" w:sz="4" w:space="0"/>
            </w:tcBorders>
            <w:vAlign w:val="center"/>
          </w:tcPr>
          <w:p w14:paraId="687DC7EE">
            <w:pPr>
              <w:pStyle w:val="6"/>
              <w:tabs>
                <w:tab w:val="center" w:pos="4201"/>
                <w:tab w:val="right" w:leader="dot" w:pos="9298"/>
              </w:tabs>
              <w:autoSpaceDE w:val="0"/>
              <w:autoSpaceDN w:val="0"/>
              <w:spacing w:before="0" w:beforeAutospacing="0" w:after="0" w:afterAutospacing="0"/>
              <w:jc w:val="both"/>
              <w:rPr>
                <w:rFonts w:ascii="Times New Roman" w:hAnsi="Times New Roman"/>
                <w:color w:val="000000" w:themeColor="text1"/>
                <w:sz w:val="18"/>
                <w:szCs w:val="18"/>
                <w14:textFill>
                  <w14:solidFill>
                    <w14:schemeClr w14:val="tx1"/>
                  </w14:solidFill>
                </w14:textFill>
              </w:rPr>
            </w:pPr>
            <w:r>
              <w:rPr>
                <w:rFonts w:hint="eastAsia" w:ascii="Times New Roman" w:hAnsi="Times New Roman" w:cs="Times New Roman"/>
                <w:kern w:val="2"/>
                <w:sz w:val="18"/>
                <w:szCs w:val="18"/>
              </w:rPr>
              <w:t>【0-</w:t>
            </w:r>
            <w:r>
              <w:rPr>
                <w:rFonts w:hint="eastAsia" w:ascii="Times New Roman" w:hAnsi="Times New Roman"/>
                <w:sz w:val="18"/>
                <w:szCs w:val="18"/>
              </w:rPr>
              <w:t>5</w:t>
            </w:r>
            <w:r>
              <w:rPr>
                <w:rFonts w:hint="eastAsia" w:ascii="Times New Roman" w:hAnsi="Times New Roman" w:cs="Times New Roman"/>
                <w:kern w:val="2"/>
                <w:sz w:val="18"/>
                <w:szCs w:val="18"/>
              </w:rPr>
              <w:t>】</w:t>
            </w:r>
          </w:p>
        </w:tc>
      </w:tr>
      <w:tr w14:paraId="41017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9" w:hRule="atLeast"/>
        </w:trPr>
        <w:tc>
          <w:tcPr>
            <w:tcW w:w="738" w:type="dxa"/>
            <w:vMerge w:val="continue"/>
            <w:tcBorders>
              <w:left w:val="single" w:color="auto" w:sz="4" w:space="0"/>
              <w:right w:val="single" w:color="auto" w:sz="4" w:space="0"/>
            </w:tcBorders>
            <w:vAlign w:val="center"/>
          </w:tcPr>
          <w:p w14:paraId="58163EDA">
            <w:pPr>
              <w:spacing w:line="240" w:lineRule="auto"/>
              <w:jc w:val="center"/>
              <w:rPr>
                <w:rFonts w:ascii="Times New Roman" w:hAnsi="Times New Roman"/>
                <w:sz w:val="18"/>
                <w:szCs w:val="18"/>
              </w:rPr>
            </w:pPr>
          </w:p>
        </w:tc>
        <w:tc>
          <w:tcPr>
            <w:tcW w:w="709" w:type="dxa"/>
            <w:vMerge w:val="continue"/>
            <w:tcBorders>
              <w:left w:val="single" w:color="auto" w:sz="4" w:space="0"/>
              <w:right w:val="single" w:color="auto" w:sz="4" w:space="0"/>
            </w:tcBorders>
            <w:vAlign w:val="center"/>
          </w:tcPr>
          <w:p w14:paraId="68761778">
            <w:pPr>
              <w:spacing w:line="240" w:lineRule="auto"/>
              <w:jc w:val="center"/>
              <w:rPr>
                <w:rFonts w:ascii="Times New Roman" w:hAnsi="Times New Roman"/>
                <w:b/>
                <w:bCs/>
                <w:sz w:val="18"/>
                <w:szCs w:val="18"/>
              </w:rPr>
            </w:pPr>
          </w:p>
        </w:tc>
        <w:tc>
          <w:tcPr>
            <w:tcW w:w="1417" w:type="dxa"/>
            <w:tcBorders>
              <w:top w:val="single" w:color="auto" w:sz="4" w:space="0"/>
              <w:left w:val="single" w:color="auto" w:sz="4" w:space="0"/>
              <w:bottom w:val="single" w:color="auto" w:sz="4" w:space="0"/>
              <w:right w:val="single" w:color="auto" w:sz="4" w:space="0"/>
            </w:tcBorders>
            <w:vAlign w:val="center"/>
          </w:tcPr>
          <w:p w14:paraId="156F547A">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开展品牌传播</w:t>
            </w:r>
          </w:p>
        </w:tc>
        <w:tc>
          <w:tcPr>
            <w:tcW w:w="2410" w:type="dxa"/>
            <w:tcBorders>
              <w:top w:val="single" w:color="auto" w:sz="4" w:space="0"/>
              <w:left w:val="single" w:color="auto" w:sz="4" w:space="0"/>
              <w:bottom w:val="single" w:color="auto" w:sz="4" w:space="0"/>
              <w:right w:val="single" w:color="auto" w:sz="4" w:space="0"/>
            </w:tcBorders>
            <w:vAlign w:val="center"/>
          </w:tcPr>
          <w:p w14:paraId="6B0885CA">
            <w:pPr>
              <w:snapToGrid w:val="0"/>
              <w:spacing w:line="240" w:lineRule="auto"/>
              <w:jc w:val="left"/>
              <w:rPr>
                <w:rFonts w:ascii="Times New Roman" w:hAnsi="Times New Roman"/>
                <w:sz w:val="18"/>
                <w:szCs w:val="18"/>
              </w:rPr>
            </w:pPr>
            <w:r>
              <w:rPr>
                <w:rFonts w:hint="eastAsia" w:ascii="Times New Roman" w:hAnsi="Times New Roman"/>
                <w:sz w:val="18"/>
                <w:szCs w:val="18"/>
              </w:rPr>
              <w:t>片区品牌在权威媒体、社交媒体、旅游群体等方面的感知力和感召力，包括媒体能见度、媒体正负评价、旅游群体正负评价等；近三年游客人次和增长情况。</w:t>
            </w:r>
          </w:p>
        </w:tc>
        <w:tc>
          <w:tcPr>
            <w:tcW w:w="3118" w:type="dxa"/>
            <w:tcBorders>
              <w:top w:val="single" w:color="auto" w:sz="4" w:space="0"/>
              <w:left w:val="single" w:color="auto" w:sz="4" w:space="0"/>
              <w:bottom w:val="single" w:color="auto" w:sz="4" w:space="0"/>
              <w:right w:val="single" w:color="auto" w:sz="4" w:space="0"/>
            </w:tcBorders>
          </w:tcPr>
          <w:p w14:paraId="0C6CA899">
            <w:pPr>
              <w:snapToGrid w:val="0"/>
              <w:spacing w:line="240" w:lineRule="auto"/>
              <w:jc w:val="left"/>
              <w:rPr>
                <w:rFonts w:ascii="Times New Roman" w:hAnsi="Times New Roman"/>
                <w:sz w:val="18"/>
                <w:szCs w:val="18"/>
              </w:rPr>
            </w:pPr>
            <w:r>
              <w:rPr>
                <w:rFonts w:hint="eastAsia" w:ascii="Times New Roman" w:hAnsi="Times New Roman"/>
                <w:sz w:val="18"/>
                <w:szCs w:val="18"/>
              </w:rPr>
              <w:t>5分：片区品牌在权威媒体、社交媒体、旅游群体的感知力和感召力表现优秀；</w:t>
            </w:r>
          </w:p>
          <w:p w14:paraId="76D51E99">
            <w:pPr>
              <w:snapToGrid w:val="0"/>
              <w:spacing w:line="240" w:lineRule="auto"/>
              <w:jc w:val="left"/>
              <w:rPr>
                <w:rFonts w:ascii="Times New Roman" w:hAnsi="Times New Roman"/>
                <w:sz w:val="18"/>
                <w:szCs w:val="18"/>
              </w:rPr>
            </w:pPr>
            <w:r>
              <w:rPr>
                <w:rFonts w:hint="eastAsia" w:ascii="Times New Roman" w:hAnsi="Times New Roman"/>
                <w:sz w:val="18"/>
                <w:szCs w:val="18"/>
              </w:rPr>
              <w:t>0-4分：根据评价对象在上述指标的表现，按较好偏上、较好、较好偏下、一般、较差，分别给予4分、3分、2分、1分、0分。</w:t>
            </w:r>
          </w:p>
        </w:tc>
        <w:tc>
          <w:tcPr>
            <w:tcW w:w="851" w:type="dxa"/>
            <w:tcBorders>
              <w:top w:val="single" w:color="auto" w:sz="4" w:space="0"/>
              <w:left w:val="single" w:color="auto" w:sz="4" w:space="0"/>
              <w:bottom w:val="single" w:color="auto" w:sz="4" w:space="0"/>
              <w:right w:val="single" w:color="auto" w:sz="4" w:space="0"/>
            </w:tcBorders>
            <w:vAlign w:val="center"/>
          </w:tcPr>
          <w:p w14:paraId="130FFFB4">
            <w:pPr>
              <w:snapToGrid w:val="0"/>
              <w:spacing w:line="240" w:lineRule="auto"/>
              <w:jc w:val="left"/>
              <w:rPr>
                <w:rFonts w:ascii="Times New Roman" w:hAnsi="Times New Roman"/>
                <w:sz w:val="18"/>
                <w:szCs w:val="18"/>
              </w:rPr>
            </w:pPr>
            <w:r>
              <w:rPr>
                <w:rFonts w:hint="eastAsia" w:ascii="Times New Roman" w:hAnsi="Times New Roman"/>
                <w:sz w:val="18"/>
                <w:szCs w:val="18"/>
              </w:rPr>
              <w:t>【0-5】</w:t>
            </w:r>
          </w:p>
        </w:tc>
      </w:tr>
      <w:tr w14:paraId="72F82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trPr>
        <w:tc>
          <w:tcPr>
            <w:tcW w:w="738" w:type="dxa"/>
            <w:vMerge w:val="continue"/>
            <w:tcBorders>
              <w:left w:val="single" w:color="auto" w:sz="4" w:space="0"/>
              <w:right w:val="single" w:color="auto" w:sz="4" w:space="0"/>
            </w:tcBorders>
            <w:vAlign w:val="center"/>
          </w:tcPr>
          <w:p w14:paraId="710F974C">
            <w:pPr>
              <w:spacing w:line="240" w:lineRule="auto"/>
              <w:jc w:val="center"/>
              <w:rPr>
                <w:rFonts w:ascii="Times New Roman" w:hAnsi="Times New Roman"/>
                <w:sz w:val="18"/>
                <w:szCs w:val="18"/>
              </w:rPr>
            </w:pPr>
          </w:p>
        </w:tc>
        <w:tc>
          <w:tcPr>
            <w:tcW w:w="709" w:type="dxa"/>
            <w:vMerge w:val="restart"/>
            <w:tcBorders>
              <w:left w:val="single" w:color="auto" w:sz="4" w:space="0"/>
              <w:right w:val="single" w:color="auto" w:sz="4" w:space="0"/>
            </w:tcBorders>
            <w:vAlign w:val="center"/>
          </w:tcPr>
          <w:p w14:paraId="7E2C2ACD">
            <w:pPr>
              <w:spacing w:line="240" w:lineRule="auto"/>
              <w:jc w:val="center"/>
              <w:rPr>
                <w:rFonts w:ascii="Times New Roman" w:hAnsi="Times New Roman"/>
                <w:b/>
                <w:bCs/>
                <w:sz w:val="18"/>
                <w:szCs w:val="18"/>
              </w:rPr>
            </w:pPr>
            <w:r>
              <w:rPr>
                <w:rFonts w:hint="eastAsia" w:ascii="Times New Roman" w:hAnsi="Times New Roman"/>
                <w:b/>
                <w:bCs/>
                <w:sz w:val="18"/>
                <w:szCs w:val="18"/>
              </w:rPr>
              <w:t>人才共育</w:t>
            </w:r>
          </w:p>
        </w:tc>
        <w:tc>
          <w:tcPr>
            <w:tcW w:w="1417" w:type="dxa"/>
            <w:tcBorders>
              <w:top w:val="single" w:color="auto" w:sz="4" w:space="0"/>
              <w:left w:val="single" w:color="auto" w:sz="4" w:space="0"/>
              <w:bottom w:val="single" w:color="auto" w:sz="4" w:space="0"/>
              <w:right w:val="single" w:color="auto" w:sz="4" w:space="0"/>
            </w:tcBorders>
            <w:vAlign w:val="center"/>
          </w:tcPr>
          <w:p w14:paraId="7F7305C3">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招纳专业人才</w:t>
            </w:r>
          </w:p>
        </w:tc>
        <w:tc>
          <w:tcPr>
            <w:tcW w:w="2410" w:type="dxa"/>
            <w:tcBorders>
              <w:top w:val="single" w:color="auto" w:sz="4" w:space="0"/>
              <w:left w:val="single" w:color="auto" w:sz="4" w:space="0"/>
              <w:bottom w:val="single" w:color="auto" w:sz="4" w:space="0"/>
              <w:right w:val="single" w:color="auto" w:sz="4" w:space="0"/>
            </w:tcBorders>
            <w:vAlign w:val="center"/>
          </w:tcPr>
          <w:p w14:paraId="7AB0FD73">
            <w:pPr>
              <w:pStyle w:val="6"/>
              <w:tabs>
                <w:tab w:val="center" w:pos="4201"/>
                <w:tab w:val="right" w:leader="dot" w:pos="9298"/>
              </w:tabs>
              <w:autoSpaceDE w:val="0"/>
              <w:autoSpaceDN w:val="0"/>
              <w:spacing w:before="0" w:beforeAutospacing="0" w:after="0" w:afterAutospacing="0"/>
              <w:jc w:val="both"/>
              <w:rPr>
                <w:rFonts w:ascii="Times New Roman" w:hAnsi="Times New Roman"/>
                <w:sz w:val="18"/>
                <w:szCs w:val="18"/>
              </w:rPr>
            </w:pPr>
            <w:r>
              <w:rPr>
                <w:rFonts w:hint="eastAsia" w:ascii="Times New Roman" w:hAnsi="Times New Roman"/>
                <w:sz w:val="18"/>
                <w:szCs w:val="18"/>
              </w:rPr>
              <w:t>片区近三年来招纳的各类专业人才数量。</w:t>
            </w:r>
          </w:p>
        </w:tc>
        <w:tc>
          <w:tcPr>
            <w:tcW w:w="3118" w:type="dxa"/>
            <w:tcBorders>
              <w:top w:val="single" w:color="auto" w:sz="4" w:space="0"/>
              <w:left w:val="single" w:color="auto" w:sz="4" w:space="0"/>
              <w:bottom w:val="single" w:color="auto" w:sz="4" w:space="0"/>
              <w:right w:val="single" w:color="auto" w:sz="4" w:space="0"/>
            </w:tcBorders>
          </w:tcPr>
          <w:p w14:paraId="420A1DAF">
            <w:pPr>
              <w:pStyle w:val="6"/>
              <w:tabs>
                <w:tab w:val="center" w:pos="4201"/>
                <w:tab w:val="right" w:leader="dot" w:pos="9298"/>
              </w:tabs>
              <w:autoSpaceDE w:val="0"/>
              <w:autoSpaceDN w:val="0"/>
              <w:spacing w:before="0" w:beforeAutospacing="0" w:after="0" w:afterAutospacing="0"/>
              <w:jc w:val="both"/>
              <w:rPr>
                <w:rFonts w:ascii="Times New Roman" w:hAnsi="Times New Roman"/>
                <w:sz w:val="18"/>
                <w:szCs w:val="18"/>
              </w:rPr>
            </w:pPr>
            <w:r>
              <w:rPr>
                <w:rFonts w:hint="eastAsia" w:ascii="Times New Roman" w:hAnsi="Times New Roman"/>
                <w:sz w:val="18"/>
                <w:szCs w:val="18"/>
              </w:rPr>
              <w:t>3分：片区组团吸引人才数量远高于平均水平，表现优秀；</w:t>
            </w:r>
          </w:p>
          <w:p w14:paraId="4EFB2491">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sz w:val="18"/>
                <w:szCs w:val="18"/>
              </w:rPr>
              <w:t>0-2分：根据评价对象吸引专业人才</w:t>
            </w:r>
            <w:r>
              <w:rPr>
                <w:rFonts w:hint="eastAsia" w:ascii="Times New Roman" w:hAnsi="Times New Roman" w:cs="Times New Roman"/>
                <w:kern w:val="2"/>
                <w:sz w:val="18"/>
                <w:szCs w:val="18"/>
              </w:rPr>
              <w:t>的表现，按较好、一般、较差，分别给予2分、1分、0分。</w:t>
            </w:r>
          </w:p>
        </w:tc>
        <w:tc>
          <w:tcPr>
            <w:tcW w:w="851" w:type="dxa"/>
            <w:tcBorders>
              <w:top w:val="single" w:color="auto" w:sz="4" w:space="0"/>
              <w:left w:val="single" w:color="auto" w:sz="4" w:space="0"/>
              <w:bottom w:val="single" w:color="auto" w:sz="4" w:space="0"/>
              <w:right w:val="single" w:color="auto" w:sz="4" w:space="0"/>
            </w:tcBorders>
            <w:vAlign w:val="center"/>
          </w:tcPr>
          <w:p w14:paraId="63E929B5">
            <w:pPr>
              <w:pStyle w:val="6"/>
              <w:tabs>
                <w:tab w:val="center" w:pos="4201"/>
                <w:tab w:val="right" w:leader="dot" w:pos="9298"/>
              </w:tabs>
              <w:autoSpaceDE w:val="0"/>
              <w:autoSpaceDN w:val="0"/>
              <w:spacing w:before="0" w:beforeAutospacing="0" w:after="0" w:afterAutospacing="0"/>
              <w:jc w:val="both"/>
              <w:rPr>
                <w:rFonts w:ascii="Times New Roman" w:hAnsi="Times New Roman"/>
                <w:sz w:val="18"/>
                <w:szCs w:val="18"/>
              </w:rPr>
            </w:pPr>
            <w:r>
              <w:rPr>
                <w:rFonts w:hint="eastAsia" w:ascii="Times New Roman" w:hAnsi="Times New Roman" w:cs="Times New Roman"/>
                <w:kern w:val="2"/>
                <w:sz w:val="18"/>
                <w:szCs w:val="18"/>
              </w:rPr>
              <w:t>【0-</w:t>
            </w:r>
            <w:r>
              <w:rPr>
                <w:rFonts w:hint="eastAsia" w:ascii="Times New Roman" w:hAnsi="Times New Roman"/>
                <w:sz w:val="18"/>
                <w:szCs w:val="18"/>
              </w:rPr>
              <w:t>3</w:t>
            </w:r>
            <w:r>
              <w:rPr>
                <w:rFonts w:hint="eastAsia" w:ascii="Times New Roman" w:hAnsi="Times New Roman" w:cs="Times New Roman"/>
                <w:kern w:val="2"/>
                <w:sz w:val="18"/>
                <w:szCs w:val="18"/>
              </w:rPr>
              <w:t>】</w:t>
            </w:r>
          </w:p>
        </w:tc>
      </w:tr>
      <w:tr w14:paraId="07B24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trPr>
        <w:tc>
          <w:tcPr>
            <w:tcW w:w="738" w:type="dxa"/>
            <w:vMerge w:val="continue"/>
            <w:tcBorders>
              <w:left w:val="single" w:color="auto" w:sz="4" w:space="0"/>
              <w:right w:val="single" w:color="auto" w:sz="4" w:space="0"/>
            </w:tcBorders>
            <w:vAlign w:val="center"/>
          </w:tcPr>
          <w:p w14:paraId="3641F0D3">
            <w:pPr>
              <w:spacing w:line="240" w:lineRule="auto"/>
              <w:jc w:val="center"/>
              <w:rPr>
                <w:rFonts w:ascii="Times New Roman" w:hAnsi="Times New Roman"/>
                <w:sz w:val="18"/>
                <w:szCs w:val="18"/>
              </w:rPr>
            </w:pPr>
          </w:p>
        </w:tc>
        <w:tc>
          <w:tcPr>
            <w:tcW w:w="709" w:type="dxa"/>
            <w:vMerge w:val="continue"/>
            <w:tcBorders>
              <w:left w:val="single" w:color="auto" w:sz="4" w:space="0"/>
              <w:right w:val="single" w:color="auto" w:sz="4" w:space="0"/>
            </w:tcBorders>
            <w:vAlign w:val="center"/>
          </w:tcPr>
          <w:p w14:paraId="1AC0AD97">
            <w:pPr>
              <w:spacing w:line="240" w:lineRule="auto"/>
              <w:jc w:val="center"/>
              <w:rPr>
                <w:rFonts w:ascii="Times New Roman" w:hAnsi="Times New Roman"/>
                <w:b/>
                <w:bCs/>
                <w:sz w:val="18"/>
                <w:szCs w:val="18"/>
              </w:rPr>
            </w:pPr>
          </w:p>
        </w:tc>
        <w:tc>
          <w:tcPr>
            <w:tcW w:w="1417" w:type="dxa"/>
            <w:tcBorders>
              <w:top w:val="single" w:color="auto" w:sz="4" w:space="0"/>
              <w:left w:val="single" w:color="auto" w:sz="4" w:space="0"/>
              <w:bottom w:val="single" w:color="auto" w:sz="4" w:space="0"/>
              <w:right w:val="single" w:color="auto" w:sz="4" w:space="0"/>
            </w:tcBorders>
            <w:vAlign w:val="center"/>
          </w:tcPr>
          <w:p w14:paraId="6CD032A6">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扶持青年入乡</w:t>
            </w:r>
          </w:p>
        </w:tc>
        <w:tc>
          <w:tcPr>
            <w:tcW w:w="2410" w:type="dxa"/>
            <w:tcBorders>
              <w:top w:val="single" w:color="auto" w:sz="4" w:space="0"/>
              <w:left w:val="single" w:color="auto" w:sz="4" w:space="0"/>
              <w:bottom w:val="single" w:color="auto" w:sz="4" w:space="0"/>
              <w:right w:val="single" w:color="auto" w:sz="4" w:space="0"/>
            </w:tcBorders>
            <w:vAlign w:val="center"/>
          </w:tcPr>
          <w:p w14:paraId="7245C4C7">
            <w:pPr>
              <w:pStyle w:val="6"/>
              <w:tabs>
                <w:tab w:val="center" w:pos="4201"/>
                <w:tab w:val="right" w:leader="dot" w:pos="9298"/>
              </w:tabs>
              <w:autoSpaceDE w:val="0"/>
              <w:autoSpaceDN w:val="0"/>
              <w:spacing w:before="0" w:beforeAutospacing="0" w:after="0" w:afterAutospacing="0"/>
              <w:jc w:val="both"/>
              <w:rPr>
                <w:rFonts w:ascii="Times New Roman" w:hAnsi="Times New Roman"/>
                <w:sz w:val="18"/>
                <w:szCs w:val="18"/>
              </w:rPr>
            </w:pPr>
            <w:r>
              <w:rPr>
                <w:rFonts w:hint="eastAsia" w:ascii="Times New Roman" w:hAnsi="Times New Roman"/>
                <w:sz w:val="18"/>
                <w:szCs w:val="18"/>
              </w:rPr>
              <w:t>片区近三年招纳的专业人才中青年人才的数量/占比；</w:t>
            </w:r>
          </w:p>
          <w:p w14:paraId="0A33FE5F">
            <w:pPr>
              <w:pStyle w:val="6"/>
              <w:tabs>
                <w:tab w:val="center" w:pos="4201"/>
                <w:tab w:val="right" w:leader="dot" w:pos="9298"/>
              </w:tabs>
              <w:autoSpaceDE w:val="0"/>
              <w:autoSpaceDN w:val="0"/>
              <w:spacing w:before="0" w:beforeAutospacing="0" w:after="0" w:afterAutospacing="0"/>
              <w:jc w:val="both"/>
              <w:rPr>
                <w:rFonts w:ascii="Times New Roman" w:hAnsi="Times New Roman"/>
                <w:sz w:val="18"/>
                <w:szCs w:val="18"/>
              </w:rPr>
            </w:pPr>
            <w:r>
              <w:rPr>
                <w:rFonts w:hint="eastAsia" w:ascii="Times New Roman" w:hAnsi="Times New Roman"/>
                <w:sz w:val="18"/>
                <w:szCs w:val="18"/>
              </w:rPr>
              <w:t>针对青年人才（含大学生）入乡制定明确的目标。</w:t>
            </w:r>
          </w:p>
        </w:tc>
        <w:tc>
          <w:tcPr>
            <w:tcW w:w="3118" w:type="dxa"/>
            <w:tcBorders>
              <w:top w:val="single" w:color="auto" w:sz="4" w:space="0"/>
              <w:left w:val="single" w:color="auto" w:sz="4" w:space="0"/>
              <w:bottom w:val="single" w:color="auto" w:sz="4" w:space="0"/>
              <w:right w:val="single" w:color="auto" w:sz="4" w:space="0"/>
            </w:tcBorders>
          </w:tcPr>
          <w:p w14:paraId="4590FEE7">
            <w:pPr>
              <w:pStyle w:val="6"/>
              <w:tabs>
                <w:tab w:val="center" w:pos="4201"/>
                <w:tab w:val="right" w:leader="dot" w:pos="9298"/>
              </w:tabs>
              <w:autoSpaceDE w:val="0"/>
              <w:autoSpaceDN w:val="0"/>
              <w:spacing w:before="0" w:beforeAutospacing="0" w:after="0" w:afterAutospacing="0"/>
              <w:jc w:val="both"/>
              <w:rPr>
                <w:rFonts w:ascii="Times New Roman" w:hAnsi="Times New Roman"/>
                <w:sz w:val="18"/>
                <w:szCs w:val="18"/>
              </w:rPr>
            </w:pPr>
            <w:r>
              <w:rPr>
                <w:rFonts w:hint="eastAsia" w:ascii="Times New Roman" w:hAnsi="Times New Roman"/>
                <w:sz w:val="18"/>
                <w:szCs w:val="18"/>
              </w:rPr>
              <w:t>3分：片区在吸引青年人才的表现优良，针对青年入乡制定了明确的目标；</w:t>
            </w:r>
          </w:p>
          <w:p w14:paraId="62EFB02A">
            <w:pPr>
              <w:pStyle w:val="6"/>
              <w:tabs>
                <w:tab w:val="center" w:pos="4201"/>
                <w:tab w:val="right" w:leader="dot" w:pos="9298"/>
              </w:tabs>
              <w:autoSpaceDE w:val="0"/>
              <w:autoSpaceDN w:val="0"/>
              <w:spacing w:before="0" w:beforeAutospacing="0" w:after="0" w:afterAutospacing="0"/>
              <w:jc w:val="both"/>
              <w:rPr>
                <w:rFonts w:ascii="Times New Roman" w:hAnsi="Times New Roman"/>
                <w:sz w:val="18"/>
                <w:szCs w:val="18"/>
              </w:rPr>
            </w:pPr>
            <w:r>
              <w:rPr>
                <w:rFonts w:hint="eastAsia" w:ascii="Times New Roman" w:hAnsi="Times New Roman"/>
                <w:sz w:val="18"/>
                <w:szCs w:val="18"/>
              </w:rPr>
              <w:t>0-2分：根据评价对象在</w:t>
            </w:r>
            <w:r>
              <w:rPr>
                <w:rFonts w:hint="eastAsia" w:ascii="Times New Roman" w:hAnsi="Times New Roman" w:cs="Times New Roman"/>
                <w:kern w:val="2"/>
                <w:sz w:val="18"/>
                <w:szCs w:val="18"/>
              </w:rPr>
              <w:t>上述指标按的表现，按较好、一般、较差，分别给予2分、1分、0分。</w:t>
            </w:r>
          </w:p>
        </w:tc>
        <w:tc>
          <w:tcPr>
            <w:tcW w:w="851" w:type="dxa"/>
            <w:tcBorders>
              <w:top w:val="single" w:color="auto" w:sz="4" w:space="0"/>
              <w:left w:val="single" w:color="auto" w:sz="4" w:space="0"/>
              <w:bottom w:val="single" w:color="auto" w:sz="4" w:space="0"/>
              <w:right w:val="single" w:color="auto" w:sz="4" w:space="0"/>
            </w:tcBorders>
            <w:vAlign w:val="center"/>
          </w:tcPr>
          <w:p w14:paraId="15BE4A55">
            <w:pPr>
              <w:pStyle w:val="6"/>
              <w:tabs>
                <w:tab w:val="center" w:pos="4201"/>
                <w:tab w:val="right" w:leader="dot" w:pos="9298"/>
              </w:tabs>
              <w:autoSpaceDE w:val="0"/>
              <w:autoSpaceDN w:val="0"/>
              <w:spacing w:before="0" w:beforeAutospacing="0" w:after="0" w:afterAutospacing="0"/>
              <w:jc w:val="both"/>
              <w:rPr>
                <w:rFonts w:ascii="Times New Roman" w:hAnsi="Times New Roman"/>
                <w:sz w:val="18"/>
                <w:szCs w:val="18"/>
              </w:rPr>
            </w:pPr>
            <w:r>
              <w:rPr>
                <w:rFonts w:hint="eastAsia" w:ascii="Times New Roman" w:hAnsi="Times New Roman" w:cs="Times New Roman"/>
                <w:kern w:val="2"/>
                <w:sz w:val="18"/>
                <w:szCs w:val="18"/>
              </w:rPr>
              <w:t>【0-</w:t>
            </w:r>
            <w:r>
              <w:rPr>
                <w:rFonts w:hint="eastAsia" w:ascii="Times New Roman" w:hAnsi="Times New Roman"/>
                <w:sz w:val="18"/>
                <w:szCs w:val="18"/>
              </w:rPr>
              <w:t>3</w:t>
            </w:r>
            <w:r>
              <w:rPr>
                <w:rFonts w:hint="eastAsia" w:ascii="Times New Roman" w:hAnsi="Times New Roman" w:cs="Times New Roman"/>
                <w:kern w:val="2"/>
                <w:sz w:val="18"/>
                <w:szCs w:val="18"/>
              </w:rPr>
              <w:t>】</w:t>
            </w:r>
          </w:p>
        </w:tc>
      </w:tr>
      <w:tr w14:paraId="66405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738" w:type="dxa"/>
            <w:vMerge w:val="continue"/>
            <w:tcBorders>
              <w:left w:val="single" w:color="auto" w:sz="4" w:space="0"/>
              <w:right w:val="single" w:color="auto" w:sz="4" w:space="0"/>
            </w:tcBorders>
            <w:vAlign w:val="center"/>
          </w:tcPr>
          <w:p w14:paraId="5CE4A487">
            <w:pPr>
              <w:spacing w:line="240" w:lineRule="auto"/>
              <w:jc w:val="center"/>
              <w:rPr>
                <w:rFonts w:ascii="Times New Roman" w:hAnsi="Times New Roman"/>
                <w:sz w:val="18"/>
                <w:szCs w:val="18"/>
              </w:rPr>
            </w:pPr>
          </w:p>
        </w:tc>
        <w:tc>
          <w:tcPr>
            <w:tcW w:w="709" w:type="dxa"/>
            <w:vMerge w:val="continue"/>
            <w:tcBorders>
              <w:left w:val="single" w:color="auto" w:sz="4" w:space="0"/>
              <w:right w:val="single" w:color="auto" w:sz="4" w:space="0"/>
            </w:tcBorders>
            <w:vAlign w:val="center"/>
          </w:tcPr>
          <w:p w14:paraId="4A88A92E">
            <w:pPr>
              <w:spacing w:line="240" w:lineRule="auto"/>
              <w:jc w:val="center"/>
              <w:rPr>
                <w:rFonts w:ascii="Times New Roman" w:hAnsi="Times New Roman"/>
                <w:b/>
                <w:bCs/>
                <w:sz w:val="18"/>
                <w:szCs w:val="18"/>
              </w:rPr>
            </w:pPr>
          </w:p>
        </w:tc>
        <w:tc>
          <w:tcPr>
            <w:tcW w:w="1417" w:type="dxa"/>
            <w:tcBorders>
              <w:top w:val="single" w:color="auto" w:sz="4" w:space="0"/>
              <w:left w:val="single" w:color="auto" w:sz="4" w:space="0"/>
              <w:bottom w:val="single" w:color="auto" w:sz="4" w:space="0"/>
              <w:right w:val="single" w:color="auto" w:sz="4" w:space="0"/>
            </w:tcBorders>
            <w:vAlign w:val="center"/>
          </w:tcPr>
          <w:p w14:paraId="77CF3741">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落实激励机制</w:t>
            </w:r>
          </w:p>
        </w:tc>
        <w:tc>
          <w:tcPr>
            <w:tcW w:w="2410" w:type="dxa"/>
            <w:tcBorders>
              <w:top w:val="single" w:color="auto" w:sz="4" w:space="0"/>
              <w:left w:val="single" w:color="auto" w:sz="4" w:space="0"/>
              <w:bottom w:val="single" w:color="auto" w:sz="4" w:space="0"/>
              <w:right w:val="single" w:color="auto" w:sz="4" w:space="0"/>
            </w:tcBorders>
            <w:vAlign w:val="center"/>
          </w:tcPr>
          <w:p w14:paraId="6387A7E1">
            <w:pPr>
              <w:pStyle w:val="6"/>
              <w:tabs>
                <w:tab w:val="center" w:pos="4201"/>
                <w:tab w:val="right" w:leader="dot" w:pos="9298"/>
              </w:tabs>
              <w:autoSpaceDE w:val="0"/>
              <w:autoSpaceDN w:val="0"/>
              <w:spacing w:before="0" w:beforeAutospacing="0" w:after="0" w:afterAutospacing="0"/>
              <w:jc w:val="both"/>
              <w:rPr>
                <w:rFonts w:ascii="Times New Roman" w:hAnsi="Times New Roman"/>
                <w:sz w:val="18"/>
                <w:szCs w:val="18"/>
              </w:rPr>
            </w:pPr>
            <w:r>
              <w:rPr>
                <w:rFonts w:hint="eastAsia" w:ascii="Times New Roman" w:hAnsi="Times New Roman"/>
                <w:sz w:val="18"/>
                <w:szCs w:val="18"/>
              </w:rPr>
              <w:t>为人才提供资金、政策、培训、住宿、生活等层面的扶持和激励，并保障落实。</w:t>
            </w:r>
          </w:p>
        </w:tc>
        <w:tc>
          <w:tcPr>
            <w:tcW w:w="3118" w:type="dxa"/>
            <w:tcBorders>
              <w:top w:val="single" w:color="auto" w:sz="4" w:space="0"/>
              <w:left w:val="single" w:color="auto" w:sz="4" w:space="0"/>
              <w:bottom w:val="single" w:color="auto" w:sz="4" w:space="0"/>
              <w:right w:val="single" w:color="auto" w:sz="4" w:space="0"/>
            </w:tcBorders>
          </w:tcPr>
          <w:p w14:paraId="5F42D495">
            <w:pPr>
              <w:pStyle w:val="6"/>
              <w:tabs>
                <w:tab w:val="center" w:pos="4201"/>
                <w:tab w:val="right" w:leader="dot" w:pos="9298"/>
              </w:tabs>
              <w:autoSpaceDE w:val="0"/>
              <w:autoSpaceDN w:val="0"/>
              <w:spacing w:before="0" w:beforeAutospacing="0" w:after="0" w:afterAutospacing="0"/>
              <w:jc w:val="both"/>
              <w:rPr>
                <w:rFonts w:ascii="Times New Roman" w:hAnsi="Times New Roman"/>
                <w:sz w:val="18"/>
                <w:szCs w:val="18"/>
              </w:rPr>
            </w:pPr>
            <w:r>
              <w:rPr>
                <w:rFonts w:hint="eastAsia" w:ascii="Times New Roman" w:hAnsi="Times New Roman"/>
                <w:sz w:val="18"/>
                <w:szCs w:val="18"/>
              </w:rPr>
              <w:t>3分：片区在资金、政策、培训、住宿、生活等方面对人才进行奖励和补贴，并保障落实到位；</w:t>
            </w:r>
          </w:p>
          <w:p w14:paraId="3E6FF18D">
            <w:pPr>
              <w:pStyle w:val="6"/>
              <w:tabs>
                <w:tab w:val="center" w:pos="4201"/>
                <w:tab w:val="right" w:leader="dot" w:pos="9298"/>
              </w:tabs>
              <w:autoSpaceDE w:val="0"/>
              <w:autoSpaceDN w:val="0"/>
              <w:spacing w:before="0" w:beforeAutospacing="0" w:after="0" w:afterAutospacing="0"/>
              <w:jc w:val="both"/>
              <w:rPr>
                <w:rFonts w:ascii="Times New Roman" w:hAnsi="Times New Roman"/>
                <w:sz w:val="18"/>
                <w:szCs w:val="18"/>
              </w:rPr>
            </w:pPr>
            <w:r>
              <w:rPr>
                <w:rFonts w:hint="eastAsia" w:ascii="Times New Roman" w:hAnsi="Times New Roman"/>
                <w:sz w:val="18"/>
                <w:szCs w:val="18"/>
              </w:rPr>
              <w:t>0-2分：根据评价对象在</w:t>
            </w:r>
            <w:r>
              <w:rPr>
                <w:rFonts w:hint="eastAsia" w:ascii="Times New Roman" w:hAnsi="Times New Roman" w:cs="Times New Roman"/>
                <w:kern w:val="2"/>
                <w:sz w:val="18"/>
                <w:szCs w:val="18"/>
              </w:rPr>
              <w:t>上述指标按的表现，按较好、一般、较差，分别给予2分、1分、0分。</w:t>
            </w:r>
          </w:p>
        </w:tc>
        <w:tc>
          <w:tcPr>
            <w:tcW w:w="851" w:type="dxa"/>
            <w:tcBorders>
              <w:top w:val="single" w:color="auto" w:sz="4" w:space="0"/>
              <w:left w:val="single" w:color="auto" w:sz="4" w:space="0"/>
              <w:bottom w:val="single" w:color="auto" w:sz="4" w:space="0"/>
              <w:right w:val="single" w:color="auto" w:sz="4" w:space="0"/>
            </w:tcBorders>
            <w:vAlign w:val="center"/>
          </w:tcPr>
          <w:p w14:paraId="7E7B3BCF">
            <w:pPr>
              <w:pStyle w:val="6"/>
              <w:tabs>
                <w:tab w:val="center" w:pos="4201"/>
                <w:tab w:val="right" w:leader="dot" w:pos="9298"/>
              </w:tabs>
              <w:autoSpaceDE w:val="0"/>
              <w:autoSpaceDN w:val="0"/>
              <w:spacing w:before="0" w:beforeAutospacing="0" w:after="0" w:afterAutospacing="0"/>
              <w:jc w:val="both"/>
              <w:rPr>
                <w:rFonts w:ascii="Times New Roman" w:hAnsi="Times New Roman"/>
                <w:sz w:val="18"/>
                <w:szCs w:val="18"/>
              </w:rPr>
            </w:pPr>
            <w:r>
              <w:rPr>
                <w:rFonts w:hint="eastAsia" w:ascii="Times New Roman" w:hAnsi="Times New Roman" w:cs="Times New Roman"/>
                <w:kern w:val="2"/>
                <w:sz w:val="18"/>
                <w:szCs w:val="18"/>
              </w:rPr>
              <w:t>【0-</w:t>
            </w:r>
            <w:r>
              <w:rPr>
                <w:rFonts w:hint="eastAsia" w:ascii="Times New Roman" w:hAnsi="Times New Roman"/>
                <w:sz w:val="18"/>
                <w:szCs w:val="18"/>
              </w:rPr>
              <w:t>3</w:t>
            </w:r>
            <w:r>
              <w:rPr>
                <w:rFonts w:hint="eastAsia" w:ascii="Times New Roman" w:hAnsi="Times New Roman" w:cs="Times New Roman"/>
                <w:kern w:val="2"/>
                <w:sz w:val="18"/>
                <w:szCs w:val="18"/>
              </w:rPr>
              <w:t>】</w:t>
            </w:r>
          </w:p>
        </w:tc>
      </w:tr>
      <w:tr w14:paraId="5AE78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9" w:hRule="atLeast"/>
        </w:trPr>
        <w:tc>
          <w:tcPr>
            <w:tcW w:w="738" w:type="dxa"/>
            <w:vMerge w:val="restart"/>
            <w:tcBorders>
              <w:top w:val="single" w:color="auto" w:sz="4" w:space="0"/>
              <w:left w:val="single" w:color="auto" w:sz="4" w:space="0"/>
              <w:right w:val="single" w:color="auto" w:sz="4" w:space="0"/>
            </w:tcBorders>
            <w:vAlign w:val="center"/>
          </w:tcPr>
          <w:p w14:paraId="1F68859B">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5CE95664">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5F900B16">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55408DB7">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31D9DAE9">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2643B2B9">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60F7B150">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0E3A2B9C">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76B5A165">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47C10BE4">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40756F6A">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6840528F">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74249544">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2BEFD6BC">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r>
              <w:rPr>
                <w:rFonts w:ascii="Times New Roman" w:hAnsi="Times New Roman" w:cs="Times New Roman"/>
                <w:b/>
                <w:bCs/>
                <w:kern w:val="2"/>
                <w:sz w:val="21"/>
                <w:szCs w:val="21"/>
              </w:rPr>
              <w:t>品牌贡献要素</w:t>
            </w:r>
          </w:p>
          <w:p w14:paraId="753102D5">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19D0DA3F">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1BDED05E">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3BF6012C">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7C46CFFE">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22AD67CF">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394482CE">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4E7F8E77">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1174156D">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4FEF1AAB">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6A4E8D3B">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32C450DC">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612BE6F7">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031AC0BB">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76B03308">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14AF5667">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6302735E">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76CB2BD4">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5E034BA8">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6E8757B2">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0ED21554">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5A4F5EE1">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2F8BDF8A">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72167E31">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39242C40">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16BF76DD">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682869F9">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268EB388">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71AD9A4C">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420539CC">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033DBEA6">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5248CB9E">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p>
          <w:p w14:paraId="4D9F5A8D">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kern w:val="2"/>
                <w:sz w:val="21"/>
                <w:szCs w:val="21"/>
              </w:rPr>
            </w:pPr>
            <w:r>
              <w:rPr>
                <w:rFonts w:ascii="Times New Roman" w:hAnsi="Times New Roman" w:cs="Times New Roman"/>
                <w:b/>
                <w:bCs/>
                <w:kern w:val="2"/>
                <w:sz w:val="21"/>
                <w:szCs w:val="21"/>
              </w:rPr>
              <w:t>品牌贡献要素</w:t>
            </w:r>
          </w:p>
        </w:tc>
        <w:tc>
          <w:tcPr>
            <w:tcW w:w="709" w:type="dxa"/>
            <w:vMerge w:val="restart"/>
            <w:tcBorders>
              <w:top w:val="single" w:color="auto" w:sz="4" w:space="0"/>
              <w:left w:val="single" w:color="auto" w:sz="4" w:space="0"/>
              <w:right w:val="single" w:color="auto" w:sz="4" w:space="0"/>
            </w:tcBorders>
            <w:vAlign w:val="center"/>
          </w:tcPr>
          <w:p w14:paraId="7561BBBF">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color w:val="C00000"/>
                <w:kern w:val="2"/>
                <w:sz w:val="18"/>
                <w:szCs w:val="18"/>
              </w:rPr>
            </w:pPr>
            <w:r>
              <w:rPr>
                <w:rFonts w:hint="eastAsia" w:ascii="Times New Roman" w:hAnsi="Times New Roman" w:cs="Times New Roman"/>
                <w:b/>
                <w:bCs/>
                <w:color w:val="000000" w:themeColor="text1"/>
                <w:kern w:val="2"/>
                <w:sz w:val="18"/>
                <w:szCs w:val="18"/>
                <w14:textFill>
                  <w14:solidFill>
                    <w14:schemeClr w14:val="tx1"/>
                  </w14:solidFill>
                </w14:textFill>
              </w:rPr>
              <w:t>社区共治</w:t>
            </w:r>
          </w:p>
        </w:tc>
        <w:tc>
          <w:tcPr>
            <w:tcW w:w="1417" w:type="dxa"/>
            <w:tcBorders>
              <w:top w:val="single" w:color="auto" w:sz="4" w:space="0"/>
              <w:left w:val="single" w:color="auto" w:sz="4" w:space="0"/>
              <w:right w:val="single" w:color="auto" w:sz="4" w:space="0"/>
            </w:tcBorders>
            <w:vAlign w:val="center"/>
          </w:tcPr>
          <w:p w14:paraId="416C7723">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多方参与机制</w:t>
            </w:r>
          </w:p>
        </w:tc>
        <w:tc>
          <w:tcPr>
            <w:tcW w:w="2410" w:type="dxa"/>
            <w:tcBorders>
              <w:top w:val="single" w:color="auto" w:sz="4" w:space="0"/>
              <w:left w:val="single" w:color="auto" w:sz="4" w:space="0"/>
              <w:bottom w:val="single" w:color="auto" w:sz="4" w:space="0"/>
              <w:right w:val="single" w:color="auto" w:sz="4" w:space="0"/>
            </w:tcBorders>
            <w:vAlign w:val="center"/>
          </w:tcPr>
          <w:p w14:paraId="79235101">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政府农业部门及其他职能部门、社会组织、企业、村集体、业态经营者、村民等利益相关者广泛参与片区事务，形成“多元共治”机制。</w:t>
            </w:r>
          </w:p>
        </w:tc>
        <w:tc>
          <w:tcPr>
            <w:tcW w:w="3118" w:type="dxa"/>
            <w:tcBorders>
              <w:top w:val="single" w:color="auto" w:sz="4" w:space="0"/>
              <w:left w:val="single" w:color="auto" w:sz="4" w:space="0"/>
              <w:bottom w:val="single" w:color="auto" w:sz="4" w:space="0"/>
              <w:right w:val="single" w:color="auto" w:sz="4" w:space="0"/>
            </w:tcBorders>
          </w:tcPr>
          <w:p w14:paraId="548099AA">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5分：各利益相关者参与片区事务的积极性、多元性和协同性；均表现优异；</w:t>
            </w:r>
          </w:p>
          <w:p w14:paraId="7CDC2F93">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sz w:val="18"/>
                <w:szCs w:val="18"/>
              </w:rPr>
              <w:t>0-5分：根据评价对象在</w:t>
            </w:r>
            <w:r>
              <w:rPr>
                <w:rFonts w:hint="eastAsia" w:ascii="Times New Roman" w:hAnsi="Times New Roman" w:cs="Times New Roman"/>
                <w:kern w:val="2"/>
                <w:sz w:val="18"/>
                <w:szCs w:val="18"/>
              </w:rPr>
              <w:t>上述指标的表现，</w:t>
            </w:r>
            <w:r>
              <w:rPr>
                <w:rFonts w:hint="eastAsia" w:ascii="Times New Roman" w:hAnsi="Times New Roman"/>
                <w:sz w:val="18"/>
                <w:szCs w:val="18"/>
              </w:rPr>
              <w:t>按较好偏上、较好、较好偏下、一般、较差，分别给予4分、3分、</w:t>
            </w:r>
            <w:r>
              <w:rPr>
                <w:rFonts w:hint="eastAsia" w:ascii="Times New Roman" w:hAnsi="Times New Roman" w:cs="Times New Roman"/>
                <w:kern w:val="2"/>
                <w:sz w:val="18"/>
                <w:szCs w:val="18"/>
              </w:rPr>
              <w:t>2分、1分、0分</w:t>
            </w:r>
            <w:r>
              <w:rPr>
                <w:rFonts w:hint="eastAsia" w:ascii="Times New Roman" w:hAnsi="Times New Roman"/>
                <w:sz w:val="18"/>
                <w:szCs w:val="18"/>
              </w:rPr>
              <w:t>。</w:t>
            </w:r>
          </w:p>
        </w:tc>
        <w:tc>
          <w:tcPr>
            <w:tcW w:w="851" w:type="dxa"/>
            <w:tcBorders>
              <w:top w:val="single" w:color="auto" w:sz="4" w:space="0"/>
              <w:left w:val="single" w:color="auto" w:sz="4" w:space="0"/>
              <w:bottom w:val="single" w:color="auto" w:sz="4" w:space="0"/>
              <w:right w:val="single" w:color="auto" w:sz="4" w:space="0"/>
            </w:tcBorders>
            <w:vAlign w:val="center"/>
          </w:tcPr>
          <w:p w14:paraId="5003325B">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【0-</w:t>
            </w:r>
            <w:r>
              <w:rPr>
                <w:rFonts w:hint="eastAsia" w:ascii="Times New Roman" w:hAnsi="Times New Roman"/>
                <w:sz w:val="18"/>
                <w:szCs w:val="18"/>
              </w:rPr>
              <w:t>5</w:t>
            </w:r>
            <w:r>
              <w:rPr>
                <w:rFonts w:hint="eastAsia" w:ascii="Times New Roman" w:hAnsi="Times New Roman" w:cs="Times New Roman"/>
                <w:kern w:val="2"/>
                <w:sz w:val="18"/>
                <w:szCs w:val="18"/>
              </w:rPr>
              <w:t>】</w:t>
            </w:r>
          </w:p>
        </w:tc>
      </w:tr>
      <w:tr w14:paraId="6C2E0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738" w:type="dxa"/>
            <w:vMerge w:val="continue"/>
            <w:tcBorders>
              <w:left w:val="single" w:color="auto" w:sz="4" w:space="0"/>
              <w:right w:val="single" w:color="auto" w:sz="4" w:space="0"/>
            </w:tcBorders>
            <w:vAlign w:val="center"/>
          </w:tcPr>
          <w:p w14:paraId="7ED8ED14">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p>
        </w:tc>
        <w:tc>
          <w:tcPr>
            <w:tcW w:w="709" w:type="dxa"/>
            <w:vMerge w:val="continue"/>
            <w:tcBorders>
              <w:top w:val="single" w:color="auto" w:sz="4" w:space="0"/>
              <w:left w:val="single" w:color="auto" w:sz="4" w:space="0"/>
              <w:right w:val="single" w:color="auto" w:sz="4" w:space="0"/>
            </w:tcBorders>
            <w:vAlign w:val="center"/>
          </w:tcPr>
          <w:p w14:paraId="630C267A">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color w:val="C00000"/>
                <w:kern w:val="2"/>
                <w:sz w:val="18"/>
                <w:szCs w:val="18"/>
              </w:rPr>
            </w:pPr>
          </w:p>
        </w:tc>
        <w:tc>
          <w:tcPr>
            <w:tcW w:w="1417" w:type="dxa"/>
            <w:tcBorders>
              <w:top w:val="single" w:color="auto" w:sz="4" w:space="0"/>
              <w:left w:val="single" w:color="auto" w:sz="4" w:space="0"/>
              <w:right w:val="single" w:color="auto" w:sz="4" w:space="0"/>
            </w:tcBorders>
            <w:vAlign w:val="center"/>
          </w:tcPr>
          <w:p w14:paraId="642D0D14">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利益分配机制</w:t>
            </w:r>
          </w:p>
        </w:tc>
        <w:tc>
          <w:tcPr>
            <w:tcW w:w="2410" w:type="dxa"/>
            <w:tcBorders>
              <w:top w:val="single" w:color="auto" w:sz="4" w:space="0"/>
              <w:left w:val="single" w:color="auto" w:sz="4" w:space="0"/>
              <w:bottom w:val="single" w:color="auto" w:sz="4" w:space="0"/>
              <w:right w:val="single" w:color="auto" w:sz="4" w:space="0"/>
            </w:tcBorders>
            <w:vAlign w:val="center"/>
          </w:tcPr>
          <w:p w14:paraId="2F5BB4A6">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强团公司与各村级集体组织或强村公司、村民等利益相关者之间结成紧密的利益分配机制；利益分配兑现及监管情况。</w:t>
            </w:r>
          </w:p>
        </w:tc>
        <w:tc>
          <w:tcPr>
            <w:tcW w:w="3118" w:type="dxa"/>
            <w:tcBorders>
              <w:top w:val="single" w:color="auto" w:sz="4" w:space="0"/>
              <w:left w:val="single" w:color="auto" w:sz="4" w:space="0"/>
              <w:bottom w:val="single" w:color="auto" w:sz="4" w:space="0"/>
              <w:right w:val="single" w:color="auto" w:sz="4" w:space="0"/>
            </w:tcBorders>
          </w:tcPr>
          <w:p w14:paraId="6A6FE056">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5分：片区内各利益相关者结成紧密的利益分配机制；能够按时兑现各方利益；监管措施到位；</w:t>
            </w:r>
          </w:p>
          <w:p w14:paraId="5130ECDA">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sz w:val="18"/>
                <w:szCs w:val="18"/>
              </w:rPr>
              <w:t>0-5分：根据评价对象在</w:t>
            </w:r>
            <w:r>
              <w:rPr>
                <w:rFonts w:hint="eastAsia" w:ascii="Times New Roman" w:hAnsi="Times New Roman" w:cs="Times New Roman"/>
                <w:kern w:val="2"/>
                <w:sz w:val="18"/>
                <w:szCs w:val="18"/>
              </w:rPr>
              <w:t>上述指标的表现，</w:t>
            </w:r>
            <w:r>
              <w:rPr>
                <w:rFonts w:hint="eastAsia" w:ascii="Times New Roman" w:hAnsi="Times New Roman"/>
                <w:sz w:val="18"/>
                <w:szCs w:val="18"/>
              </w:rPr>
              <w:t>按较好偏上、较好、较好偏下、一般、较差，分别给予4分、3分、</w:t>
            </w:r>
            <w:r>
              <w:rPr>
                <w:rFonts w:hint="eastAsia" w:ascii="Times New Roman" w:hAnsi="Times New Roman" w:cs="Times New Roman"/>
                <w:kern w:val="2"/>
                <w:sz w:val="18"/>
                <w:szCs w:val="18"/>
              </w:rPr>
              <w:t>2分、1分、0分</w:t>
            </w:r>
            <w:r>
              <w:rPr>
                <w:rFonts w:hint="eastAsia" w:ascii="Times New Roman" w:hAnsi="Times New Roman"/>
                <w:sz w:val="18"/>
                <w:szCs w:val="18"/>
              </w:rPr>
              <w:t>。</w:t>
            </w:r>
          </w:p>
        </w:tc>
        <w:tc>
          <w:tcPr>
            <w:tcW w:w="851" w:type="dxa"/>
            <w:tcBorders>
              <w:top w:val="single" w:color="auto" w:sz="4" w:space="0"/>
              <w:left w:val="single" w:color="auto" w:sz="4" w:space="0"/>
              <w:bottom w:val="single" w:color="auto" w:sz="4" w:space="0"/>
              <w:right w:val="single" w:color="auto" w:sz="4" w:space="0"/>
            </w:tcBorders>
            <w:vAlign w:val="center"/>
          </w:tcPr>
          <w:p w14:paraId="5F5D6ED2">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【0-</w:t>
            </w:r>
            <w:r>
              <w:rPr>
                <w:rFonts w:hint="eastAsia" w:ascii="Times New Roman" w:hAnsi="Times New Roman"/>
                <w:sz w:val="18"/>
                <w:szCs w:val="18"/>
              </w:rPr>
              <w:t>5</w:t>
            </w:r>
            <w:r>
              <w:rPr>
                <w:rFonts w:hint="eastAsia" w:ascii="Times New Roman" w:hAnsi="Times New Roman" w:cs="Times New Roman"/>
                <w:kern w:val="2"/>
                <w:sz w:val="18"/>
                <w:szCs w:val="18"/>
              </w:rPr>
              <w:t>】</w:t>
            </w:r>
          </w:p>
        </w:tc>
      </w:tr>
      <w:tr w14:paraId="42DF4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8" w:hRule="atLeast"/>
        </w:trPr>
        <w:tc>
          <w:tcPr>
            <w:tcW w:w="738" w:type="dxa"/>
            <w:vMerge w:val="continue"/>
            <w:tcBorders>
              <w:left w:val="single" w:color="auto" w:sz="4" w:space="0"/>
              <w:right w:val="single" w:color="auto" w:sz="4" w:space="0"/>
            </w:tcBorders>
            <w:vAlign w:val="center"/>
          </w:tcPr>
          <w:p w14:paraId="3D89E2AB">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p>
        </w:tc>
        <w:tc>
          <w:tcPr>
            <w:tcW w:w="709" w:type="dxa"/>
            <w:vMerge w:val="continue"/>
            <w:tcBorders>
              <w:left w:val="single" w:color="auto" w:sz="4" w:space="0"/>
              <w:right w:val="single" w:color="auto" w:sz="4" w:space="0"/>
            </w:tcBorders>
            <w:vAlign w:val="center"/>
          </w:tcPr>
          <w:p w14:paraId="6DC99B9A">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color w:val="C00000"/>
                <w:kern w:val="2"/>
                <w:sz w:val="18"/>
                <w:szCs w:val="18"/>
              </w:rPr>
            </w:pPr>
          </w:p>
        </w:tc>
        <w:tc>
          <w:tcPr>
            <w:tcW w:w="1417" w:type="dxa"/>
            <w:tcBorders>
              <w:top w:val="single" w:color="auto" w:sz="4" w:space="0"/>
              <w:left w:val="single" w:color="auto" w:sz="4" w:space="0"/>
              <w:right w:val="single" w:color="auto" w:sz="4" w:space="0"/>
            </w:tcBorders>
            <w:vAlign w:val="center"/>
          </w:tcPr>
          <w:p w14:paraId="6A6348D8">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社区幸福感知</w:t>
            </w:r>
          </w:p>
        </w:tc>
        <w:tc>
          <w:tcPr>
            <w:tcW w:w="2410" w:type="dxa"/>
            <w:tcBorders>
              <w:top w:val="single" w:color="auto" w:sz="4" w:space="0"/>
              <w:left w:val="single" w:color="auto" w:sz="4" w:space="0"/>
              <w:bottom w:val="single" w:color="auto" w:sz="4" w:space="0"/>
              <w:right w:val="single" w:color="auto" w:sz="4" w:space="0"/>
            </w:tcBorders>
            <w:vAlign w:val="center"/>
          </w:tcPr>
          <w:p w14:paraId="7DEE87DE">
            <w:pPr>
              <w:pStyle w:val="6"/>
              <w:tabs>
                <w:tab w:val="center" w:pos="4201"/>
                <w:tab w:val="right" w:leader="dot" w:pos="9298"/>
              </w:tabs>
              <w:autoSpaceDE w:val="0"/>
              <w:autoSpaceDN w:val="0"/>
              <w:adjustRightInd w:val="0"/>
              <w:snapToGrid w:val="0"/>
              <w:spacing w:before="0" w:beforeAutospacing="0" w:after="0" w:afterAutospacing="0"/>
              <w:rPr>
                <w:rFonts w:ascii="Times New Roman" w:hAnsi="Times New Roman" w:cs="Times New Roman"/>
                <w:kern w:val="2"/>
                <w:sz w:val="18"/>
                <w:szCs w:val="18"/>
              </w:rPr>
            </w:pPr>
            <w:r>
              <w:rPr>
                <w:rFonts w:hint="eastAsia" w:ascii="Times New Roman" w:hAnsi="Times New Roman" w:cs="Times New Roman"/>
                <w:kern w:val="2"/>
                <w:sz w:val="18"/>
                <w:szCs w:val="18"/>
              </w:rPr>
              <w:t>各村集体、村民对片区事务的参与度和积极性；对片区组团经营效果和社区生活的满意度。</w:t>
            </w:r>
          </w:p>
        </w:tc>
        <w:tc>
          <w:tcPr>
            <w:tcW w:w="3118" w:type="dxa"/>
            <w:tcBorders>
              <w:top w:val="single" w:color="auto" w:sz="4" w:space="0"/>
              <w:left w:val="single" w:color="auto" w:sz="4" w:space="0"/>
              <w:bottom w:val="single" w:color="auto" w:sz="4" w:space="0"/>
              <w:right w:val="single" w:color="auto" w:sz="4" w:space="0"/>
            </w:tcBorders>
          </w:tcPr>
          <w:p w14:paraId="473D77B5">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5分：村集体、村民对片区事务广泛积极参与，对片区组团经营现状非常满意；</w:t>
            </w:r>
          </w:p>
          <w:p w14:paraId="2FF1D150">
            <w:pPr>
              <w:pStyle w:val="6"/>
              <w:tabs>
                <w:tab w:val="center" w:pos="4201"/>
                <w:tab w:val="right" w:leader="dot" w:pos="9298"/>
              </w:tabs>
              <w:autoSpaceDE w:val="0"/>
              <w:autoSpaceDN w:val="0"/>
              <w:adjustRightInd w:val="0"/>
              <w:snapToGrid w:val="0"/>
              <w:spacing w:before="0" w:beforeAutospacing="0" w:after="0" w:afterAutospacing="0"/>
              <w:rPr>
                <w:rFonts w:ascii="Times New Roman" w:hAnsi="Times New Roman" w:cs="Times New Roman"/>
                <w:kern w:val="2"/>
                <w:sz w:val="18"/>
                <w:szCs w:val="18"/>
              </w:rPr>
            </w:pPr>
            <w:r>
              <w:rPr>
                <w:rFonts w:hint="eastAsia" w:ascii="Times New Roman" w:hAnsi="Times New Roman"/>
                <w:sz w:val="18"/>
                <w:szCs w:val="18"/>
              </w:rPr>
              <w:t>0-5分：根据评价对象在</w:t>
            </w:r>
            <w:r>
              <w:rPr>
                <w:rFonts w:hint="eastAsia" w:ascii="Times New Roman" w:hAnsi="Times New Roman" w:cs="Times New Roman"/>
                <w:kern w:val="2"/>
                <w:sz w:val="18"/>
                <w:szCs w:val="18"/>
              </w:rPr>
              <w:t>上述指标的表现，</w:t>
            </w:r>
            <w:r>
              <w:rPr>
                <w:rFonts w:hint="eastAsia" w:ascii="Times New Roman" w:hAnsi="Times New Roman"/>
                <w:sz w:val="18"/>
                <w:szCs w:val="18"/>
              </w:rPr>
              <w:t>按较好偏上、较好、较好偏下、一般、较差，分别给予4分、3分、</w:t>
            </w:r>
            <w:r>
              <w:rPr>
                <w:rFonts w:hint="eastAsia" w:ascii="Times New Roman" w:hAnsi="Times New Roman" w:cs="Times New Roman"/>
                <w:kern w:val="2"/>
                <w:sz w:val="18"/>
                <w:szCs w:val="18"/>
              </w:rPr>
              <w:t>2分、1分、0分</w:t>
            </w:r>
            <w:r>
              <w:rPr>
                <w:rFonts w:hint="eastAsia" w:ascii="Times New Roman" w:hAnsi="Times New Roman"/>
                <w:sz w:val="18"/>
                <w:szCs w:val="18"/>
              </w:rPr>
              <w:t>。</w:t>
            </w:r>
          </w:p>
        </w:tc>
        <w:tc>
          <w:tcPr>
            <w:tcW w:w="851" w:type="dxa"/>
            <w:tcBorders>
              <w:top w:val="single" w:color="auto" w:sz="4" w:space="0"/>
              <w:left w:val="single" w:color="auto" w:sz="4" w:space="0"/>
              <w:bottom w:val="single" w:color="auto" w:sz="4" w:space="0"/>
              <w:right w:val="single" w:color="auto" w:sz="4" w:space="0"/>
            </w:tcBorders>
            <w:vAlign w:val="center"/>
          </w:tcPr>
          <w:p w14:paraId="7AF18B45">
            <w:pPr>
              <w:pStyle w:val="6"/>
              <w:tabs>
                <w:tab w:val="center" w:pos="4201"/>
                <w:tab w:val="right" w:leader="dot" w:pos="9298"/>
              </w:tabs>
              <w:autoSpaceDE w:val="0"/>
              <w:autoSpaceDN w:val="0"/>
              <w:adjustRightInd w:val="0"/>
              <w:snapToGrid w:val="0"/>
              <w:spacing w:before="0" w:beforeAutospacing="0" w:after="0" w:afterAutospacing="0"/>
              <w:rPr>
                <w:rFonts w:ascii="Times New Roman" w:hAnsi="Times New Roman" w:cs="Times New Roman"/>
                <w:kern w:val="2"/>
                <w:sz w:val="18"/>
                <w:szCs w:val="18"/>
              </w:rPr>
            </w:pPr>
            <w:r>
              <w:rPr>
                <w:rFonts w:hint="eastAsia" w:ascii="Times New Roman" w:hAnsi="Times New Roman" w:cs="Times New Roman"/>
                <w:kern w:val="2"/>
                <w:sz w:val="18"/>
                <w:szCs w:val="18"/>
              </w:rPr>
              <w:t>【0-</w:t>
            </w:r>
            <w:r>
              <w:rPr>
                <w:rFonts w:hint="eastAsia" w:ascii="Times New Roman" w:hAnsi="Times New Roman"/>
                <w:sz w:val="18"/>
                <w:szCs w:val="18"/>
              </w:rPr>
              <w:t>5</w:t>
            </w:r>
            <w:r>
              <w:rPr>
                <w:rFonts w:hint="eastAsia" w:ascii="Times New Roman" w:hAnsi="Times New Roman" w:cs="Times New Roman"/>
                <w:kern w:val="2"/>
                <w:sz w:val="18"/>
                <w:szCs w:val="18"/>
              </w:rPr>
              <w:t>】</w:t>
            </w:r>
          </w:p>
        </w:tc>
      </w:tr>
      <w:tr w14:paraId="7E31F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trPr>
        <w:tc>
          <w:tcPr>
            <w:tcW w:w="738" w:type="dxa"/>
            <w:vMerge w:val="continue"/>
            <w:tcBorders>
              <w:left w:val="single" w:color="auto" w:sz="4" w:space="0"/>
              <w:right w:val="single" w:color="auto" w:sz="4" w:space="0"/>
            </w:tcBorders>
            <w:vAlign w:val="center"/>
          </w:tcPr>
          <w:p w14:paraId="0A43E42D">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p>
        </w:tc>
        <w:tc>
          <w:tcPr>
            <w:tcW w:w="709" w:type="dxa"/>
            <w:vMerge w:val="restart"/>
            <w:tcBorders>
              <w:left w:val="single" w:color="auto" w:sz="4" w:space="0"/>
              <w:right w:val="single" w:color="auto" w:sz="4" w:space="0"/>
            </w:tcBorders>
            <w:vAlign w:val="center"/>
          </w:tcPr>
          <w:p w14:paraId="69954034">
            <w:pPr>
              <w:spacing w:line="240" w:lineRule="auto"/>
              <w:jc w:val="center"/>
              <w:rPr>
                <w:rFonts w:ascii="Times New Roman" w:hAnsi="Times New Roman"/>
                <w:b/>
                <w:bCs/>
                <w:color w:val="C00000"/>
                <w:sz w:val="18"/>
                <w:szCs w:val="18"/>
              </w:rPr>
            </w:pPr>
            <w:r>
              <w:rPr>
                <w:rFonts w:hint="eastAsia" w:ascii="Times New Roman" w:hAnsi="Times New Roman"/>
                <w:b/>
                <w:bCs/>
                <w:color w:val="000000" w:themeColor="text1"/>
                <w:sz w:val="18"/>
                <w:szCs w:val="18"/>
                <w14:textFill>
                  <w14:solidFill>
                    <w14:schemeClr w14:val="tx1"/>
                  </w14:solidFill>
                </w14:textFill>
              </w:rPr>
              <w:t>服务共享</w:t>
            </w:r>
          </w:p>
        </w:tc>
        <w:tc>
          <w:tcPr>
            <w:tcW w:w="1417" w:type="dxa"/>
            <w:tcBorders>
              <w:top w:val="single" w:color="auto" w:sz="4" w:space="0"/>
              <w:left w:val="single" w:color="auto" w:sz="4" w:space="0"/>
              <w:right w:val="single" w:color="auto" w:sz="4" w:space="0"/>
            </w:tcBorders>
            <w:vAlign w:val="center"/>
          </w:tcPr>
          <w:p w14:paraId="1DCCEB07">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联通基础设施</w:t>
            </w:r>
          </w:p>
        </w:tc>
        <w:tc>
          <w:tcPr>
            <w:tcW w:w="2410" w:type="dxa"/>
            <w:tcBorders>
              <w:top w:val="single" w:color="auto" w:sz="4" w:space="0"/>
              <w:left w:val="single" w:color="auto" w:sz="4" w:space="0"/>
              <w:bottom w:val="single" w:color="auto" w:sz="4" w:space="0"/>
              <w:right w:val="single" w:color="auto" w:sz="4" w:space="0"/>
            </w:tcBorders>
            <w:vAlign w:val="center"/>
          </w:tcPr>
          <w:p w14:paraId="596120BE">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片区内道路交通、游步道、停车场、游客中心、文化礼堂、旅游线路等基础设施的互通互联。</w:t>
            </w:r>
          </w:p>
        </w:tc>
        <w:tc>
          <w:tcPr>
            <w:tcW w:w="3118" w:type="dxa"/>
            <w:tcBorders>
              <w:top w:val="single" w:color="auto" w:sz="4" w:space="0"/>
              <w:left w:val="single" w:color="auto" w:sz="4" w:space="0"/>
              <w:bottom w:val="single" w:color="auto" w:sz="4" w:space="0"/>
              <w:right w:val="single" w:color="auto" w:sz="4" w:space="0"/>
            </w:tcBorders>
          </w:tcPr>
          <w:p w14:paraId="30DA72A5">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3分：片区内各项便民服务设施互通互联状况良好，无堵点难点；</w:t>
            </w:r>
          </w:p>
          <w:p w14:paraId="397A5C43">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sz w:val="18"/>
                <w:szCs w:val="18"/>
              </w:rPr>
              <w:t>0-2分：根据评价对象在</w:t>
            </w:r>
            <w:r>
              <w:rPr>
                <w:rFonts w:hint="eastAsia" w:ascii="Times New Roman" w:hAnsi="Times New Roman" w:cs="Times New Roman"/>
                <w:kern w:val="2"/>
                <w:sz w:val="18"/>
                <w:szCs w:val="18"/>
              </w:rPr>
              <w:t>上述指标的表现，</w:t>
            </w:r>
            <w:r>
              <w:rPr>
                <w:rFonts w:hint="eastAsia" w:ascii="Times New Roman" w:hAnsi="Times New Roman"/>
                <w:sz w:val="18"/>
                <w:szCs w:val="18"/>
              </w:rPr>
              <w:t>按较好、一般、较差，分别给予</w:t>
            </w:r>
            <w:r>
              <w:rPr>
                <w:rFonts w:hint="eastAsia" w:ascii="Times New Roman" w:hAnsi="Times New Roman" w:cs="Times New Roman"/>
                <w:kern w:val="2"/>
                <w:sz w:val="18"/>
                <w:szCs w:val="18"/>
              </w:rPr>
              <w:t>2分、1分、0分</w:t>
            </w:r>
            <w:r>
              <w:rPr>
                <w:rFonts w:hint="eastAsia" w:ascii="Times New Roman" w:hAnsi="Times New Roman"/>
                <w:sz w:val="18"/>
                <w:szCs w:val="18"/>
              </w:rPr>
              <w:t>。</w:t>
            </w:r>
          </w:p>
        </w:tc>
        <w:tc>
          <w:tcPr>
            <w:tcW w:w="851" w:type="dxa"/>
            <w:tcBorders>
              <w:top w:val="single" w:color="auto" w:sz="4" w:space="0"/>
              <w:left w:val="single" w:color="auto" w:sz="4" w:space="0"/>
              <w:bottom w:val="single" w:color="auto" w:sz="4" w:space="0"/>
              <w:right w:val="single" w:color="auto" w:sz="4" w:space="0"/>
            </w:tcBorders>
            <w:vAlign w:val="center"/>
          </w:tcPr>
          <w:p w14:paraId="77D55CDA">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【0-</w:t>
            </w:r>
            <w:r>
              <w:rPr>
                <w:rFonts w:hint="eastAsia" w:ascii="Times New Roman" w:hAnsi="Times New Roman"/>
                <w:sz w:val="18"/>
                <w:szCs w:val="18"/>
              </w:rPr>
              <w:t>3</w:t>
            </w:r>
            <w:r>
              <w:rPr>
                <w:rFonts w:hint="eastAsia" w:ascii="Times New Roman" w:hAnsi="Times New Roman" w:cs="Times New Roman"/>
                <w:kern w:val="2"/>
                <w:sz w:val="18"/>
                <w:szCs w:val="18"/>
              </w:rPr>
              <w:t>】</w:t>
            </w:r>
          </w:p>
        </w:tc>
      </w:tr>
      <w:tr w14:paraId="0127A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trPr>
        <w:tc>
          <w:tcPr>
            <w:tcW w:w="738" w:type="dxa"/>
            <w:vMerge w:val="continue"/>
            <w:tcBorders>
              <w:left w:val="single" w:color="auto" w:sz="4" w:space="0"/>
              <w:right w:val="single" w:color="auto" w:sz="4" w:space="0"/>
            </w:tcBorders>
            <w:vAlign w:val="center"/>
          </w:tcPr>
          <w:p w14:paraId="7494446E">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p>
        </w:tc>
        <w:tc>
          <w:tcPr>
            <w:tcW w:w="709" w:type="dxa"/>
            <w:vMerge w:val="continue"/>
            <w:tcBorders>
              <w:left w:val="single" w:color="auto" w:sz="4" w:space="0"/>
              <w:right w:val="single" w:color="auto" w:sz="4" w:space="0"/>
            </w:tcBorders>
            <w:vAlign w:val="center"/>
          </w:tcPr>
          <w:p w14:paraId="7712206D">
            <w:pPr>
              <w:spacing w:line="240" w:lineRule="auto"/>
              <w:jc w:val="center"/>
              <w:rPr>
                <w:rFonts w:ascii="Times New Roman" w:hAnsi="Times New Roman"/>
                <w:b/>
                <w:bCs/>
                <w:color w:val="000000" w:themeColor="text1"/>
                <w:sz w:val="18"/>
                <w:szCs w:val="18"/>
                <w14:textFill>
                  <w14:solidFill>
                    <w14:schemeClr w14:val="tx1"/>
                  </w14:solidFill>
                </w14:textFill>
              </w:rPr>
            </w:pPr>
          </w:p>
        </w:tc>
        <w:tc>
          <w:tcPr>
            <w:tcW w:w="1417" w:type="dxa"/>
            <w:tcBorders>
              <w:top w:val="single" w:color="auto" w:sz="4" w:space="0"/>
              <w:left w:val="single" w:color="auto" w:sz="4" w:space="0"/>
              <w:right w:val="single" w:color="auto" w:sz="4" w:space="0"/>
            </w:tcBorders>
            <w:vAlign w:val="center"/>
          </w:tcPr>
          <w:p w14:paraId="0D72E82B">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共享便民服务</w:t>
            </w:r>
          </w:p>
        </w:tc>
        <w:tc>
          <w:tcPr>
            <w:tcW w:w="2410" w:type="dxa"/>
            <w:tcBorders>
              <w:top w:val="single" w:color="auto" w:sz="4" w:space="0"/>
              <w:left w:val="single" w:color="auto" w:sz="4" w:space="0"/>
              <w:bottom w:val="single" w:color="auto" w:sz="4" w:space="0"/>
              <w:right w:val="single" w:color="auto" w:sz="4" w:space="0"/>
            </w:tcBorders>
            <w:vAlign w:val="center"/>
          </w:tcPr>
          <w:p w14:paraId="0C4162C3">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color w:val="C00000"/>
                <w:kern w:val="2"/>
                <w:sz w:val="18"/>
                <w:szCs w:val="18"/>
              </w:rPr>
            </w:pPr>
            <w:r>
              <w:rPr>
                <w:rFonts w:hint="eastAsia" w:ascii="Times New Roman" w:hAnsi="Times New Roman" w:cs="Times New Roman"/>
                <w:kern w:val="2"/>
                <w:sz w:val="18"/>
                <w:szCs w:val="18"/>
              </w:rPr>
              <w:t>片区内游客中心、文化礼堂、停车场、物流、医疗、养老、食堂等便民服务共享情况。</w:t>
            </w:r>
          </w:p>
        </w:tc>
        <w:tc>
          <w:tcPr>
            <w:tcW w:w="3118" w:type="dxa"/>
            <w:tcBorders>
              <w:top w:val="single" w:color="auto" w:sz="4" w:space="0"/>
              <w:left w:val="single" w:color="auto" w:sz="4" w:space="0"/>
              <w:bottom w:val="single" w:color="auto" w:sz="4" w:space="0"/>
              <w:right w:val="single" w:color="auto" w:sz="4" w:space="0"/>
            </w:tcBorders>
          </w:tcPr>
          <w:p w14:paraId="092128E6">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4分：片区内各项便民服务便捷，共享状况良好，无重复建设；</w:t>
            </w:r>
          </w:p>
          <w:p w14:paraId="43767B9A">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sz w:val="18"/>
                <w:szCs w:val="18"/>
              </w:rPr>
              <w:t>0-3分：根据评价对象在</w:t>
            </w:r>
            <w:r>
              <w:rPr>
                <w:rFonts w:hint="eastAsia" w:ascii="Times New Roman" w:hAnsi="Times New Roman" w:cs="Times New Roman"/>
                <w:kern w:val="2"/>
                <w:sz w:val="18"/>
                <w:szCs w:val="18"/>
              </w:rPr>
              <w:t>上述指标的表现，</w:t>
            </w:r>
            <w:r>
              <w:rPr>
                <w:rFonts w:hint="eastAsia" w:ascii="Times New Roman" w:hAnsi="Times New Roman"/>
                <w:sz w:val="18"/>
                <w:szCs w:val="18"/>
              </w:rPr>
              <w:t>按较好、一般、较差，分别给予3分、</w:t>
            </w:r>
            <w:r>
              <w:rPr>
                <w:rFonts w:hint="eastAsia" w:ascii="Times New Roman" w:hAnsi="Times New Roman" w:cs="Times New Roman"/>
                <w:kern w:val="2"/>
                <w:sz w:val="18"/>
                <w:szCs w:val="18"/>
              </w:rPr>
              <w:t>2分、1分、0分</w:t>
            </w:r>
            <w:r>
              <w:rPr>
                <w:rFonts w:hint="eastAsia" w:ascii="Times New Roman" w:hAnsi="Times New Roman"/>
                <w:sz w:val="18"/>
                <w:szCs w:val="18"/>
              </w:rPr>
              <w:t>。</w:t>
            </w:r>
          </w:p>
        </w:tc>
        <w:tc>
          <w:tcPr>
            <w:tcW w:w="851" w:type="dxa"/>
            <w:tcBorders>
              <w:top w:val="single" w:color="auto" w:sz="4" w:space="0"/>
              <w:left w:val="single" w:color="auto" w:sz="4" w:space="0"/>
              <w:bottom w:val="single" w:color="auto" w:sz="4" w:space="0"/>
              <w:right w:val="single" w:color="auto" w:sz="4" w:space="0"/>
            </w:tcBorders>
            <w:vAlign w:val="center"/>
          </w:tcPr>
          <w:p w14:paraId="33709598">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【0-</w:t>
            </w:r>
            <w:r>
              <w:rPr>
                <w:rFonts w:hint="eastAsia" w:ascii="Times New Roman" w:hAnsi="Times New Roman"/>
                <w:sz w:val="18"/>
                <w:szCs w:val="18"/>
              </w:rPr>
              <w:t>4</w:t>
            </w:r>
            <w:r>
              <w:rPr>
                <w:rFonts w:hint="eastAsia" w:ascii="Times New Roman" w:hAnsi="Times New Roman" w:cs="Times New Roman"/>
                <w:kern w:val="2"/>
                <w:sz w:val="18"/>
                <w:szCs w:val="18"/>
              </w:rPr>
              <w:t>】</w:t>
            </w:r>
          </w:p>
        </w:tc>
      </w:tr>
      <w:tr w14:paraId="77F96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2" w:hRule="atLeast"/>
        </w:trPr>
        <w:tc>
          <w:tcPr>
            <w:tcW w:w="738" w:type="dxa"/>
            <w:vMerge w:val="continue"/>
            <w:tcBorders>
              <w:left w:val="single" w:color="auto" w:sz="4" w:space="0"/>
              <w:right w:val="single" w:color="auto" w:sz="4" w:space="0"/>
            </w:tcBorders>
            <w:vAlign w:val="center"/>
          </w:tcPr>
          <w:p w14:paraId="5D0B1C49">
            <w:pPr>
              <w:spacing w:line="240" w:lineRule="auto"/>
              <w:jc w:val="center"/>
              <w:rPr>
                <w:rFonts w:ascii="Times New Roman" w:hAnsi="Times New Roman"/>
                <w:sz w:val="18"/>
                <w:szCs w:val="18"/>
              </w:rPr>
            </w:pPr>
          </w:p>
        </w:tc>
        <w:tc>
          <w:tcPr>
            <w:tcW w:w="709" w:type="dxa"/>
            <w:vMerge w:val="continue"/>
            <w:tcBorders>
              <w:left w:val="single" w:color="auto" w:sz="4" w:space="0"/>
              <w:right w:val="single" w:color="auto" w:sz="4" w:space="0"/>
            </w:tcBorders>
            <w:vAlign w:val="center"/>
          </w:tcPr>
          <w:p w14:paraId="0E48F35D">
            <w:pPr>
              <w:spacing w:line="240" w:lineRule="auto"/>
              <w:jc w:val="center"/>
              <w:rPr>
                <w:rFonts w:ascii="Times New Roman" w:hAnsi="Times New Roman"/>
                <w:b/>
                <w:bCs/>
                <w:color w:val="C00000"/>
                <w:sz w:val="18"/>
                <w:szCs w:val="18"/>
              </w:rPr>
            </w:pPr>
          </w:p>
        </w:tc>
        <w:tc>
          <w:tcPr>
            <w:tcW w:w="1417" w:type="dxa"/>
            <w:tcBorders>
              <w:top w:val="single" w:color="auto" w:sz="4" w:space="0"/>
              <w:left w:val="single" w:color="auto" w:sz="4" w:space="0"/>
              <w:bottom w:val="single" w:color="auto" w:sz="4" w:space="0"/>
              <w:right w:val="single" w:color="auto" w:sz="4" w:space="0"/>
            </w:tcBorders>
            <w:vAlign w:val="center"/>
          </w:tcPr>
          <w:p w14:paraId="1FACFE45">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创新服务模式</w:t>
            </w:r>
          </w:p>
        </w:tc>
        <w:tc>
          <w:tcPr>
            <w:tcW w:w="2410" w:type="dxa"/>
            <w:tcBorders>
              <w:left w:val="single" w:color="auto" w:sz="4" w:space="0"/>
              <w:right w:val="single" w:color="auto" w:sz="4" w:space="0"/>
            </w:tcBorders>
            <w:vAlign w:val="center"/>
          </w:tcPr>
          <w:p w14:paraId="4AA35B7B">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面向村民、游客、投资商等开展的创新性服务举措。</w:t>
            </w:r>
          </w:p>
        </w:tc>
        <w:tc>
          <w:tcPr>
            <w:tcW w:w="3118" w:type="dxa"/>
            <w:tcBorders>
              <w:left w:val="single" w:color="auto" w:sz="4" w:space="0"/>
              <w:right w:val="single" w:color="auto" w:sz="4" w:space="0"/>
            </w:tcBorders>
          </w:tcPr>
          <w:p w14:paraId="0E9AD4CA">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4分：面向村民、游客、投资商等开展的创新性服务举措，效果显著；</w:t>
            </w:r>
          </w:p>
          <w:p w14:paraId="70C262D5">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sz w:val="18"/>
                <w:szCs w:val="18"/>
              </w:rPr>
              <w:t>0-3分：根据评价对象在</w:t>
            </w:r>
            <w:r>
              <w:rPr>
                <w:rFonts w:hint="eastAsia" w:ascii="Times New Roman" w:hAnsi="Times New Roman" w:cs="Times New Roman"/>
                <w:kern w:val="2"/>
                <w:sz w:val="18"/>
                <w:szCs w:val="18"/>
              </w:rPr>
              <w:t>上述指标的表现，</w:t>
            </w:r>
            <w:r>
              <w:rPr>
                <w:rFonts w:hint="eastAsia" w:ascii="Times New Roman" w:hAnsi="Times New Roman"/>
                <w:sz w:val="18"/>
                <w:szCs w:val="18"/>
              </w:rPr>
              <w:t>按较好偏上、较好、一般、较差，分别给予3分、</w:t>
            </w:r>
            <w:r>
              <w:rPr>
                <w:rFonts w:hint="eastAsia" w:ascii="Times New Roman" w:hAnsi="Times New Roman" w:cs="Times New Roman"/>
                <w:kern w:val="2"/>
                <w:sz w:val="18"/>
                <w:szCs w:val="18"/>
              </w:rPr>
              <w:t>2分、1分、0分</w:t>
            </w:r>
            <w:r>
              <w:rPr>
                <w:rFonts w:hint="eastAsia" w:ascii="Times New Roman" w:hAnsi="Times New Roman"/>
                <w:sz w:val="18"/>
                <w:szCs w:val="18"/>
              </w:rPr>
              <w:t>。</w:t>
            </w:r>
          </w:p>
        </w:tc>
        <w:tc>
          <w:tcPr>
            <w:tcW w:w="851" w:type="dxa"/>
            <w:tcBorders>
              <w:left w:val="single" w:color="auto" w:sz="4" w:space="0"/>
              <w:right w:val="single" w:color="auto" w:sz="4" w:space="0"/>
            </w:tcBorders>
            <w:vAlign w:val="center"/>
          </w:tcPr>
          <w:p w14:paraId="7DD4C045">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【0-</w:t>
            </w:r>
            <w:r>
              <w:rPr>
                <w:rFonts w:hint="eastAsia" w:ascii="Times New Roman" w:hAnsi="Times New Roman"/>
                <w:sz w:val="18"/>
                <w:szCs w:val="18"/>
              </w:rPr>
              <w:t>4</w:t>
            </w:r>
            <w:r>
              <w:rPr>
                <w:rFonts w:hint="eastAsia" w:ascii="Times New Roman" w:hAnsi="Times New Roman" w:cs="Times New Roman"/>
                <w:kern w:val="2"/>
                <w:sz w:val="18"/>
                <w:szCs w:val="18"/>
              </w:rPr>
              <w:t>】</w:t>
            </w:r>
          </w:p>
        </w:tc>
      </w:tr>
      <w:tr w14:paraId="788FB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738" w:type="dxa"/>
            <w:vMerge w:val="continue"/>
            <w:tcBorders>
              <w:left w:val="single" w:color="auto" w:sz="4" w:space="0"/>
              <w:right w:val="single" w:color="auto" w:sz="4" w:space="0"/>
            </w:tcBorders>
            <w:vAlign w:val="center"/>
          </w:tcPr>
          <w:p w14:paraId="3562CD0C">
            <w:pPr>
              <w:spacing w:line="240" w:lineRule="auto"/>
              <w:jc w:val="center"/>
              <w:rPr>
                <w:rFonts w:ascii="Times New Roman" w:hAnsi="Times New Roman"/>
                <w:sz w:val="18"/>
                <w:szCs w:val="18"/>
              </w:rPr>
            </w:pPr>
          </w:p>
        </w:tc>
        <w:tc>
          <w:tcPr>
            <w:tcW w:w="709" w:type="dxa"/>
            <w:vMerge w:val="restart"/>
            <w:tcBorders>
              <w:top w:val="single" w:color="auto" w:sz="4" w:space="0"/>
              <w:left w:val="single" w:color="auto" w:sz="4" w:space="0"/>
              <w:right w:val="single" w:color="auto" w:sz="4" w:space="0"/>
            </w:tcBorders>
            <w:vAlign w:val="center"/>
          </w:tcPr>
          <w:p w14:paraId="2A6123FF">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color w:val="C00000"/>
                <w:kern w:val="2"/>
                <w:sz w:val="18"/>
                <w:szCs w:val="18"/>
              </w:rPr>
            </w:pPr>
            <w:r>
              <w:rPr>
                <w:rFonts w:hint="eastAsia" w:ascii="Times New Roman" w:hAnsi="Times New Roman" w:cs="Times New Roman"/>
                <w:b/>
                <w:bCs/>
                <w:color w:val="000000" w:themeColor="text1"/>
                <w:kern w:val="2"/>
                <w:sz w:val="18"/>
                <w:szCs w:val="18"/>
                <w14:textFill>
                  <w14:solidFill>
                    <w14:schemeClr w14:val="tx1"/>
                  </w14:solidFill>
                </w14:textFill>
              </w:rPr>
              <w:t>资产共营</w:t>
            </w:r>
          </w:p>
        </w:tc>
        <w:tc>
          <w:tcPr>
            <w:tcW w:w="1417" w:type="dxa"/>
            <w:tcBorders>
              <w:top w:val="single" w:color="auto" w:sz="4" w:space="0"/>
              <w:left w:val="single" w:color="auto" w:sz="4" w:space="0"/>
              <w:bottom w:val="single" w:color="auto" w:sz="4" w:space="0"/>
              <w:right w:val="single" w:color="auto" w:sz="4" w:space="0"/>
            </w:tcBorders>
            <w:vAlign w:val="center"/>
          </w:tcPr>
          <w:p w14:paraId="6BAEB0EC">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color w:val="C00000"/>
                <w:kern w:val="2"/>
                <w:sz w:val="18"/>
                <w:szCs w:val="18"/>
              </w:rPr>
            </w:pPr>
            <w:r>
              <w:rPr>
                <w:rFonts w:hint="eastAsia" w:ascii="Times New Roman" w:hAnsi="Times New Roman" w:cs="Times New Roman"/>
                <w:kern w:val="2"/>
                <w:sz w:val="18"/>
                <w:szCs w:val="18"/>
              </w:rPr>
              <w:t>开展市场运营</w:t>
            </w:r>
          </w:p>
        </w:tc>
        <w:tc>
          <w:tcPr>
            <w:tcW w:w="2410" w:type="dxa"/>
            <w:tcBorders>
              <w:top w:val="single" w:color="auto" w:sz="4" w:space="0"/>
              <w:left w:val="single" w:color="auto" w:sz="4" w:space="0"/>
              <w:bottom w:val="single" w:color="auto" w:sz="4" w:space="0"/>
              <w:right w:val="single" w:color="auto" w:sz="4" w:space="0"/>
            </w:tcBorders>
            <w:vAlign w:val="center"/>
          </w:tcPr>
          <w:p w14:paraId="27C62BEC">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通过统一的市场运营主体，整合片区全域资源，开展实质性运营工作，如招商引资、场景营造、渠道拓展、对外传播、申请项目、建设实施等。</w:t>
            </w:r>
          </w:p>
        </w:tc>
        <w:tc>
          <w:tcPr>
            <w:tcW w:w="3118" w:type="dxa"/>
            <w:tcBorders>
              <w:top w:val="single" w:color="auto" w:sz="4" w:space="0"/>
              <w:left w:val="single" w:color="auto" w:sz="4" w:space="0"/>
              <w:bottom w:val="single" w:color="auto" w:sz="4" w:space="0"/>
              <w:right w:val="single" w:color="auto" w:sz="4" w:space="0"/>
            </w:tcBorders>
          </w:tcPr>
          <w:p w14:paraId="5B12B5D8">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6分：运营主体开展了多种运营活动，如招商引资、产品开发、场景营造、对外传播、渠道拓展等。</w:t>
            </w:r>
          </w:p>
          <w:p w14:paraId="4C21CFF7">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sz w:val="18"/>
                <w:szCs w:val="18"/>
              </w:rPr>
              <w:t>0-5分：根据评价对象在</w:t>
            </w:r>
            <w:r>
              <w:rPr>
                <w:rFonts w:hint="eastAsia" w:ascii="Times New Roman" w:hAnsi="Times New Roman" w:cs="Times New Roman"/>
                <w:kern w:val="2"/>
                <w:sz w:val="18"/>
                <w:szCs w:val="18"/>
              </w:rPr>
              <w:t>上述指标的表现，</w:t>
            </w:r>
            <w:r>
              <w:rPr>
                <w:rFonts w:hint="eastAsia" w:ascii="Times New Roman" w:hAnsi="Times New Roman"/>
                <w:sz w:val="18"/>
                <w:szCs w:val="18"/>
              </w:rPr>
              <w:t>按较好偏上、较好、较好偏下、一般偏上、一般、较差，分别给予5</w:t>
            </w:r>
            <w:r>
              <w:rPr>
                <w:rFonts w:hint="eastAsia" w:ascii="Times New Roman" w:hAnsi="Times New Roman" w:cs="Times New Roman"/>
                <w:kern w:val="2"/>
                <w:sz w:val="18"/>
                <w:szCs w:val="18"/>
              </w:rPr>
              <w:t>分、</w:t>
            </w:r>
            <w:r>
              <w:rPr>
                <w:rFonts w:hint="eastAsia" w:ascii="Times New Roman" w:hAnsi="Times New Roman"/>
                <w:sz w:val="18"/>
                <w:szCs w:val="18"/>
              </w:rPr>
              <w:t>4分、3分、</w:t>
            </w:r>
            <w:r>
              <w:rPr>
                <w:rFonts w:hint="eastAsia" w:ascii="Times New Roman" w:hAnsi="Times New Roman" w:cs="Times New Roman"/>
                <w:kern w:val="2"/>
                <w:sz w:val="18"/>
                <w:szCs w:val="18"/>
              </w:rPr>
              <w:t>2分、1分、0分</w:t>
            </w:r>
            <w:r>
              <w:rPr>
                <w:rFonts w:hint="eastAsia" w:ascii="Times New Roman" w:hAnsi="Times New Roman"/>
                <w:sz w:val="18"/>
                <w:szCs w:val="18"/>
              </w:rPr>
              <w:t>。</w:t>
            </w:r>
          </w:p>
        </w:tc>
        <w:tc>
          <w:tcPr>
            <w:tcW w:w="851" w:type="dxa"/>
            <w:tcBorders>
              <w:top w:val="single" w:color="auto" w:sz="4" w:space="0"/>
              <w:left w:val="single" w:color="auto" w:sz="4" w:space="0"/>
              <w:bottom w:val="single" w:color="auto" w:sz="4" w:space="0"/>
              <w:right w:val="single" w:color="auto" w:sz="4" w:space="0"/>
            </w:tcBorders>
            <w:vAlign w:val="center"/>
          </w:tcPr>
          <w:p w14:paraId="092C4DE3">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【0-</w:t>
            </w:r>
            <w:r>
              <w:rPr>
                <w:rFonts w:hint="eastAsia" w:ascii="Times New Roman" w:hAnsi="Times New Roman"/>
                <w:sz w:val="18"/>
                <w:szCs w:val="18"/>
              </w:rPr>
              <w:t>6</w:t>
            </w:r>
            <w:r>
              <w:rPr>
                <w:rFonts w:hint="eastAsia" w:ascii="Times New Roman" w:hAnsi="Times New Roman" w:cs="Times New Roman"/>
                <w:kern w:val="2"/>
                <w:sz w:val="18"/>
                <w:szCs w:val="18"/>
              </w:rPr>
              <w:t>】</w:t>
            </w:r>
          </w:p>
        </w:tc>
      </w:tr>
      <w:tr w14:paraId="6CCD2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1" w:hRule="atLeast"/>
        </w:trPr>
        <w:tc>
          <w:tcPr>
            <w:tcW w:w="738" w:type="dxa"/>
            <w:vMerge w:val="continue"/>
            <w:tcBorders>
              <w:left w:val="single" w:color="auto" w:sz="4" w:space="0"/>
              <w:right w:val="single" w:color="auto" w:sz="4" w:space="0"/>
            </w:tcBorders>
            <w:vAlign w:val="center"/>
          </w:tcPr>
          <w:p w14:paraId="3D4503D2">
            <w:pPr>
              <w:spacing w:line="240" w:lineRule="auto"/>
              <w:jc w:val="center"/>
              <w:rPr>
                <w:rFonts w:ascii="Times New Roman" w:hAnsi="Times New Roman"/>
                <w:sz w:val="18"/>
                <w:szCs w:val="18"/>
              </w:rPr>
            </w:pPr>
          </w:p>
        </w:tc>
        <w:tc>
          <w:tcPr>
            <w:tcW w:w="709" w:type="dxa"/>
            <w:vMerge w:val="continue"/>
            <w:tcBorders>
              <w:left w:val="single" w:color="auto" w:sz="4" w:space="0"/>
              <w:right w:val="single" w:color="auto" w:sz="4" w:space="0"/>
            </w:tcBorders>
            <w:vAlign w:val="center"/>
          </w:tcPr>
          <w:p w14:paraId="1BB06F20">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color w:val="C00000"/>
                <w:kern w:val="2"/>
                <w:sz w:val="18"/>
                <w:szCs w:val="18"/>
              </w:rPr>
            </w:pPr>
          </w:p>
        </w:tc>
        <w:tc>
          <w:tcPr>
            <w:tcW w:w="1417" w:type="dxa"/>
            <w:tcBorders>
              <w:top w:val="single" w:color="auto" w:sz="4" w:space="0"/>
              <w:left w:val="single" w:color="auto" w:sz="4" w:space="0"/>
              <w:bottom w:val="single" w:color="auto" w:sz="4" w:space="0"/>
              <w:right w:val="single" w:color="auto" w:sz="4" w:space="0"/>
            </w:tcBorders>
            <w:vAlign w:val="center"/>
          </w:tcPr>
          <w:p w14:paraId="5AA3DE50">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新型产品开发</w:t>
            </w:r>
          </w:p>
        </w:tc>
        <w:tc>
          <w:tcPr>
            <w:tcW w:w="2410" w:type="dxa"/>
            <w:tcBorders>
              <w:top w:val="single" w:color="auto" w:sz="4" w:space="0"/>
              <w:left w:val="single" w:color="auto" w:sz="4" w:space="0"/>
              <w:bottom w:val="single" w:color="auto" w:sz="4" w:space="0"/>
              <w:right w:val="single" w:color="auto" w:sz="4" w:space="0"/>
            </w:tcBorders>
            <w:vAlign w:val="center"/>
          </w:tcPr>
          <w:p w14:paraId="5B948C09">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超越现有资产租赁模式，围绕片区特色产业，深度开发新型产品，增加片区经营性收入。</w:t>
            </w:r>
          </w:p>
        </w:tc>
        <w:tc>
          <w:tcPr>
            <w:tcW w:w="3118" w:type="dxa"/>
            <w:tcBorders>
              <w:top w:val="single" w:color="auto" w:sz="4" w:space="0"/>
              <w:left w:val="single" w:color="auto" w:sz="4" w:space="0"/>
              <w:bottom w:val="single" w:color="auto" w:sz="4" w:space="0"/>
              <w:right w:val="single" w:color="auto" w:sz="4" w:space="0"/>
            </w:tcBorders>
          </w:tcPr>
          <w:p w14:paraId="475B777E">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ascii="Times New Roman" w:hAnsi="Times New Roman" w:cs="Times New Roman"/>
                <w:kern w:val="2"/>
                <w:sz w:val="18"/>
                <w:szCs w:val="18"/>
              </w:rPr>
              <w:t>6</w:t>
            </w:r>
            <w:r>
              <w:rPr>
                <w:rFonts w:hint="eastAsia" w:ascii="Times New Roman" w:hAnsi="Times New Roman" w:cs="Times New Roman"/>
                <w:kern w:val="2"/>
                <w:sz w:val="18"/>
                <w:szCs w:val="18"/>
              </w:rPr>
              <w:t>分：运营主体围绕片区特色产业开发新产品，销售与盈利效果良好。</w:t>
            </w:r>
          </w:p>
          <w:p w14:paraId="107DC1F0">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sz w:val="18"/>
                <w:szCs w:val="18"/>
              </w:rPr>
              <w:t>0-5分：根据评价对象在上述指标</w:t>
            </w:r>
            <w:r>
              <w:rPr>
                <w:rFonts w:hint="eastAsia" w:ascii="Times New Roman" w:hAnsi="Times New Roman" w:cs="Times New Roman"/>
                <w:kern w:val="2"/>
                <w:sz w:val="18"/>
                <w:szCs w:val="18"/>
              </w:rPr>
              <w:t>的表现，</w:t>
            </w:r>
            <w:r>
              <w:rPr>
                <w:rFonts w:hint="eastAsia" w:ascii="Times New Roman" w:hAnsi="Times New Roman"/>
                <w:sz w:val="18"/>
                <w:szCs w:val="18"/>
              </w:rPr>
              <w:t>按较好偏上、较好、较好偏下、一般偏上、一般、较差，分别给予5</w:t>
            </w:r>
            <w:r>
              <w:rPr>
                <w:rFonts w:hint="eastAsia" w:ascii="Times New Roman" w:hAnsi="Times New Roman" w:cs="Times New Roman"/>
                <w:kern w:val="2"/>
                <w:sz w:val="18"/>
                <w:szCs w:val="18"/>
              </w:rPr>
              <w:t>分、</w:t>
            </w:r>
            <w:r>
              <w:rPr>
                <w:rFonts w:hint="eastAsia" w:ascii="Times New Roman" w:hAnsi="Times New Roman"/>
                <w:sz w:val="18"/>
                <w:szCs w:val="18"/>
              </w:rPr>
              <w:t>4分、3分、</w:t>
            </w:r>
            <w:r>
              <w:rPr>
                <w:rFonts w:hint="eastAsia" w:ascii="Times New Roman" w:hAnsi="Times New Roman" w:cs="Times New Roman"/>
                <w:kern w:val="2"/>
                <w:sz w:val="18"/>
                <w:szCs w:val="18"/>
              </w:rPr>
              <w:t>2分、1分、0分</w:t>
            </w:r>
            <w:r>
              <w:rPr>
                <w:rFonts w:hint="eastAsia" w:ascii="Times New Roman" w:hAnsi="Times New Roman"/>
                <w:sz w:val="18"/>
                <w:szCs w:val="18"/>
              </w:rPr>
              <w:t>。</w:t>
            </w:r>
          </w:p>
        </w:tc>
        <w:tc>
          <w:tcPr>
            <w:tcW w:w="851" w:type="dxa"/>
            <w:tcBorders>
              <w:top w:val="single" w:color="auto" w:sz="4" w:space="0"/>
              <w:left w:val="single" w:color="auto" w:sz="4" w:space="0"/>
              <w:bottom w:val="single" w:color="auto" w:sz="4" w:space="0"/>
              <w:right w:val="single" w:color="auto" w:sz="4" w:space="0"/>
            </w:tcBorders>
            <w:vAlign w:val="center"/>
          </w:tcPr>
          <w:p w14:paraId="45008A37">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【0-</w:t>
            </w:r>
            <w:r>
              <w:rPr>
                <w:rFonts w:ascii="Times New Roman" w:hAnsi="Times New Roman"/>
                <w:sz w:val="18"/>
                <w:szCs w:val="18"/>
              </w:rPr>
              <w:t>6</w:t>
            </w:r>
            <w:r>
              <w:rPr>
                <w:rFonts w:hint="eastAsia" w:ascii="Times New Roman" w:hAnsi="Times New Roman" w:cs="Times New Roman"/>
                <w:kern w:val="2"/>
                <w:sz w:val="18"/>
                <w:szCs w:val="18"/>
              </w:rPr>
              <w:t>】</w:t>
            </w:r>
          </w:p>
        </w:tc>
      </w:tr>
      <w:tr w14:paraId="5C7DF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trPr>
        <w:tc>
          <w:tcPr>
            <w:tcW w:w="738" w:type="dxa"/>
            <w:vMerge w:val="continue"/>
            <w:tcBorders>
              <w:left w:val="single" w:color="auto" w:sz="4" w:space="0"/>
              <w:right w:val="single" w:color="auto" w:sz="4" w:space="0"/>
            </w:tcBorders>
            <w:vAlign w:val="center"/>
          </w:tcPr>
          <w:p w14:paraId="1489B729">
            <w:pPr>
              <w:spacing w:line="240" w:lineRule="auto"/>
              <w:jc w:val="center"/>
              <w:rPr>
                <w:rFonts w:ascii="Times New Roman" w:hAnsi="Times New Roman"/>
                <w:sz w:val="18"/>
                <w:szCs w:val="18"/>
              </w:rPr>
            </w:pPr>
          </w:p>
        </w:tc>
        <w:tc>
          <w:tcPr>
            <w:tcW w:w="709" w:type="dxa"/>
            <w:vMerge w:val="continue"/>
            <w:tcBorders>
              <w:left w:val="single" w:color="auto" w:sz="4" w:space="0"/>
              <w:right w:val="single" w:color="auto" w:sz="4" w:space="0"/>
            </w:tcBorders>
            <w:vAlign w:val="center"/>
          </w:tcPr>
          <w:p w14:paraId="02446D26">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color w:val="C00000"/>
                <w:kern w:val="2"/>
                <w:sz w:val="18"/>
                <w:szCs w:val="18"/>
              </w:rPr>
            </w:pPr>
          </w:p>
        </w:tc>
        <w:tc>
          <w:tcPr>
            <w:tcW w:w="1417" w:type="dxa"/>
            <w:tcBorders>
              <w:top w:val="single" w:color="auto" w:sz="4" w:space="0"/>
              <w:left w:val="single" w:color="auto" w:sz="4" w:space="0"/>
              <w:bottom w:val="single" w:color="auto" w:sz="4" w:space="0"/>
              <w:right w:val="single" w:color="auto" w:sz="4" w:space="0"/>
            </w:tcBorders>
            <w:vAlign w:val="center"/>
          </w:tcPr>
          <w:p w14:paraId="161C08B3">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评估运营成效</w:t>
            </w:r>
          </w:p>
        </w:tc>
        <w:tc>
          <w:tcPr>
            <w:tcW w:w="2410" w:type="dxa"/>
            <w:tcBorders>
              <w:top w:val="single" w:color="auto" w:sz="4" w:space="0"/>
              <w:left w:val="single" w:color="auto" w:sz="4" w:space="0"/>
              <w:bottom w:val="single" w:color="auto" w:sz="4" w:space="0"/>
              <w:right w:val="single" w:color="auto" w:sz="4" w:space="0"/>
            </w:tcBorders>
            <w:vAlign w:val="center"/>
          </w:tcPr>
          <w:p w14:paraId="4C866FDB">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近三年，村集体资产保值增值情况；村民户均收入增长情况；强团公司投资、收入、负债与利润情况；片区招商引资项目数量及投资额；片区获上级部门嘉奖、专项补贴和社会荣誉情况。</w:t>
            </w:r>
          </w:p>
        </w:tc>
        <w:tc>
          <w:tcPr>
            <w:tcW w:w="3118" w:type="dxa"/>
            <w:tcBorders>
              <w:top w:val="single" w:color="auto" w:sz="4" w:space="0"/>
              <w:left w:val="single" w:color="auto" w:sz="4" w:space="0"/>
              <w:bottom w:val="single" w:color="auto" w:sz="4" w:space="0"/>
              <w:right w:val="single" w:color="auto" w:sz="4" w:space="0"/>
            </w:tcBorders>
          </w:tcPr>
          <w:p w14:paraId="768DD4BF">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10分：近三年，运营主体在以下指标取得卓有成效的成绩，如村集体经济增长、村民收入增长、强团公司收入、强团公司投资额、招商引资数量、上级部门嘉奖和补贴额度、社会荣誉等；</w:t>
            </w:r>
          </w:p>
          <w:p w14:paraId="00437FAC">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sz w:val="18"/>
                <w:szCs w:val="18"/>
              </w:rPr>
              <w:t>0-9分：根据评价对象在上述指标</w:t>
            </w:r>
            <w:r>
              <w:rPr>
                <w:rFonts w:hint="eastAsia" w:ascii="Times New Roman" w:hAnsi="Times New Roman" w:cs="Times New Roman"/>
                <w:kern w:val="2"/>
                <w:sz w:val="18"/>
                <w:szCs w:val="18"/>
              </w:rPr>
              <w:t>的表现，</w:t>
            </w:r>
            <w:r>
              <w:rPr>
                <w:rFonts w:hint="eastAsia" w:ascii="Times New Roman" w:hAnsi="Times New Roman"/>
                <w:sz w:val="18"/>
                <w:szCs w:val="18"/>
              </w:rPr>
              <w:t>按较好偏上、较好、较好偏下、中等偏上、中等、中等偏下、一般偏上、一般、一般偏下、较差，分别给予9</w:t>
            </w:r>
            <w:r>
              <w:rPr>
                <w:rFonts w:hint="eastAsia" w:ascii="Times New Roman" w:hAnsi="Times New Roman" w:cs="Times New Roman"/>
                <w:kern w:val="2"/>
                <w:sz w:val="18"/>
                <w:szCs w:val="18"/>
              </w:rPr>
              <w:t>分、8分、7分、6分、5分、</w:t>
            </w:r>
            <w:r>
              <w:rPr>
                <w:rFonts w:hint="eastAsia" w:ascii="Times New Roman" w:hAnsi="Times New Roman"/>
                <w:sz w:val="18"/>
                <w:szCs w:val="18"/>
              </w:rPr>
              <w:t>4分、3分、</w:t>
            </w:r>
            <w:r>
              <w:rPr>
                <w:rFonts w:hint="eastAsia" w:ascii="Times New Roman" w:hAnsi="Times New Roman" w:cs="Times New Roman"/>
                <w:kern w:val="2"/>
                <w:sz w:val="18"/>
                <w:szCs w:val="18"/>
              </w:rPr>
              <w:t>2分、1分、0分</w:t>
            </w:r>
            <w:r>
              <w:rPr>
                <w:rFonts w:hint="eastAsia" w:ascii="Times New Roman" w:hAnsi="Times New Roman"/>
                <w:sz w:val="18"/>
                <w:szCs w:val="18"/>
              </w:rPr>
              <w:t>。</w:t>
            </w:r>
          </w:p>
        </w:tc>
        <w:tc>
          <w:tcPr>
            <w:tcW w:w="851" w:type="dxa"/>
            <w:tcBorders>
              <w:top w:val="single" w:color="auto" w:sz="4" w:space="0"/>
              <w:left w:val="single" w:color="auto" w:sz="4" w:space="0"/>
              <w:bottom w:val="single" w:color="auto" w:sz="4" w:space="0"/>
              <w:right w:val="single" w:color="auto" w:sz="4" w:space="0"/>
            </w:tcBorders>
            <w:vAlign w:val="center"/>
          </w:tcPr>
          <w:p w14:paraId="1D3D5713">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【0-</w:t>
            </w:r>
            <w:r>
              <w:rPr>
                <w:rFonts w:ascii="Times New Roman" w:hAnsi="Times New Roman"/>
                <w:sz w:val="18"/>
                <w:szCs w:val="18"/>
              </w:rPr>
              <w:t>10</w:t>
            </w:r>
            <w:r>
              <w:rPr>
                <w:rFonts w:hint="eastAsia" w:ascii="Times New Roman" w:hAnsi="Times New Roman" w:cs="Times New Roman"/>
                <w:kern w:val="2"/>
                <w:sz w:val="18"/>
                <w:szCs w:val="18"/>
              </w:rPr>
              <w:t>】</w:t>
            </w:r>
          </w:p>
        </w:tc>
      </w:tr>
      <w:tr w14:paraId="0DD96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trPr>
        <w:tc>
          <w:tcPr>
            <w:tcW w:w="738" w:type="dxa"/>
            <w:vMerge w:val="continue"/>
            <w:tcBorders>
              <w:left w:val="single" w:color="auto" w:sz="4" w:space="0"/>
              <w:right w:val="single" w:color="auto" w:sz="4" w:space="0"/>
            </w:tcBorders>
            <w:vAlign w:val="center"/>
          </w:tcPr>
          <w:p w14:paraId="669B777C">
            <w:pPr>
              <w:spacing w:line="240" w:lineRule="auto"/>
              <w:jc w:val="center"/>
              <w:rPr>
                <w:rFonts w:ascii="Times New Roman" w:hAnsi="Times New Roman"/>
                <w:sz w:val="18"/>
                <w:szCs w:val="18"/>
              </w:rPr>
            </w:pPr>
          </w:p>
        </w:tc>
        <w:tc>
          <w:tcPr>
            <w:tcW w:w="709" w:type="dxa"/>
            <w:vMerge w:val="restart"/>
            <w:tcBorders>
              <w:top w:val="single" w:color="auto" w:sz="4" w:space="0"/>
              <w:left w:val="single" w:color="auto" w:sz="4" w:space="0"/>
              <w:right w:val="single" w:color="auto" w:sz="4" w:space="0"/>
            </w:tcBorders>
            <w:vAlign w:val="center"/>
          </w:tcPr>
          <w:p w14:paraId="7543CC33">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b/>
                <w:bCs/>
                <w:color w:val="C00000"/>
                <w:kern w:val="2"/>
                <w:sz w:val="18"/>
                <w:szCs w:val="18"/>
              </w:rPr>
            </w:pPr>
            <w:r>
              <w:rPr>
                <w:rFonts w:hint="eastAsia" w:ascii="Times New Roman" w:hAnsi="Times New Roman" w:cs="Times New Roman"/>
                <w:b/>
                <w:bCs/>
                <w:color w:val="000000" w:themeColor="text1"/>
                <w:kern w:val="2"/>
                <w:sz w:val="18"/>
                <w:szCs w:val="18"/>
                <w14:textFill>
                  <w14:solidFill>
                    <w14:schemeClr w14:val="tx1"/>
                  </w14:solidFill>
                </w14:textFill>
              </w:rPr>
              <w:t>文化共认</w:t>
            </w:r>
          </w:p>
        </w:tc>
        <w:tc>
          <w:tcPr>
            <w:tcW w:w="1417" w:type="dxa"/>
            <w:tcBorders>
              <w:top w:val="single" w:color="auto" w:sz="4" w:space="0"/>
              <w:left w:val="single" w:color="auto" w:sz="4" w:space="0"/>
              <w:bottom w:val="single" w:color="auto" w:sz="4" w:space="0"/>
              <w:right w:val="single" w:color="auto" w:sz="4" w:space="0"/>
            </w:tcBorders>
            <w:vAlign w:val="center"/>
          </w:tcPr>
          <w:p w14:paraId="44FDBFE8">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创设文化</w:t>
            </w:r>
            <w:r>
              <w:rPr>
                <w:rFonts w:ascii="Times New Roman" w:hAnsi="Times New Roman" w:cs="Times New Roman"/>
                <w:kern w:val="2"/>
                <w:sz w:val="18"/>
                <w:szCs w:val="18"/>
              </w:rPr>
              <w:t>IP</w:t>
            </w:r>
          </w:p>
        </w:tc>
        <w:tc>
          <w:tcPr>
            <w:tcW w:w="2410" w:type="dxa"/>
            <w:tcBorders>
              <w:top w:val="single" w:color="auto" w:sz="4" w:space="0"/>
              <w:left w:val="single" w:color="auto" w:sz="4" w:space="0"/>
              <w:right w:val="single" w:color="auto" w:sz="4" w:space="0"/>
            </w:tcBorders>
            <w:vAlign w:val="center"/>
          </w:tcPr>
          <w:p w14:paraId="55B7F907">
            <w:pPr>
              <w:pStyle w:val="6"/>
              <w:tabs>
                <w:tab w:val="center" w:pos="4201"/>
                <w:tab w:val="right" w:leader="dot" w:pos="9298"/>
              </w:tabs>
              <w:autoSpaceDE w:val="0"/>
              <w:autoSpaceDN w:val="0"/>
              <w:spacing w:before="0" w:beforeAutospacing="0" w:after="0" w:afterAutospacing="0"/>
              <w:jc w:val="both"/>
              <w:rPr>
                <w:rFonts w:ascii="Times New Roman" w:hAnsi="Times New Roman"/>
                <w:sz w:val="18"/>
                <w:szCs w:val="18"/>
              </w:rPr>
            </w:pPr>
            <w:r>
              <w:rPr>
                <w:rFonts w:hint="eastAsia" w:ascii="Times New Roman" w:hAnsi="Times New Roman"/>
                <w:sz w:val="18"/>
                <w:szCs w:val="18"/>
              </w:rPr>
              <w:t>挖掘片区历史文化、非遗文化等，打造特色鲜明的片区组团文化</w:t>
            </w:r>
            <w:r>
              <w:rPr>
                <w:rFonts w:ascii="Times New Roman" w:hAnsi="Times New Roman"/>
                <w:sz w:val="18"/>
                <w:szCs w:val="18"/>
              </w:rPr>
              <w:t>IP</w:t>
            </w:r>
            <w:r>
              <w:rPr>
                <w:rFonts w:hint="eastAsia" w:ascii="Times New Roman" w:hAnsi="Times New Roman"/>
                <w:sz w:val="18"/>
                <w:szCs w:val="18"/>
              </w:rPr>
              <w:t>，并获得广泛的认同感。</w:t>
            </w:r>
          </w:p>
        </w:tc>
        <w:tc>
          <w:tcPr>
            <w:tcW w:w="3118" w:type="dxa"/>
            <w:tcBorders>
              <w:top w:val="single" w:color="auto" w:sz="4" w:space="0"/>
              <w:left w:val="single" w:color="auto" w:sz="4" w:space="0"/>
              <w:right w:val="single" w:color="auto" w:sz="4" w:space="0"/>
            </w:tcBorders>
          </w:tcPr>
          <w:p w14:paraId="35A5AB05">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5分：根据片区文化资源禀赋，打造了特色鲜明的文化</w:t>
            </w:r>
            <w:r>
              <w:rPr>
                <w:rFonts w:ascii="Times New Roman" w:hAnsi="Times New Roman" w:cs="Times New Roman"/>
                <w:kern w:val="2"/>
                <w:sz w:val="18"/>
                <w:szCs w:val="18"/>
              </w:rPr>
              <w:t>IP</w:t>
            </w:r>
            <w:r>
              <w:rPr>
                <w:rFonts w:hint="eastAsia" w:ascii="Times New Roman" w:hAnsi="Times New Roman" w:cs="Times New Roman"/>
                <w:kern w:val="2"/>
                <w:sz w:val="18"/>
                <w:szCs w:val="18"/>
              </w:rPr>
              <w:t>，在片区内获得广泛认同；</w:t>
            </w:r>
          </w:p>
          <w:p w14:paraId="795C159B">
            <w:pPr>
              <w:pStyle w:val="6"/>
              <w:tabs>
                <w:tab w:val="center" w:pos="4201"/>
                <w:tab w:val="right" w:leader="dot" w:pos="9298"/>
              </w:tabs>
              <w:autoSpaceDE w:val="0"/>
              <w:autoSpaceDN w:val="0"/>
              <w:spacing w:before="0" w:beforeAutospacing="0" w:after="0" w:afterAutospacing="0"/>
              <w:jc w:val="both"/>
              <w:rPr>
                <w:rFonts w:ascii="Times New Roman" w:hAnsi="Times New Roman"/>
                <w:sz w:val="18"/>
                <w:szCs w:val="18"/>
              </w:rPr>
            </w:pPr>
            <w:r>
              <w:rPr>
                <w:rFonts w:hint="eastAsia" w:ascii="Times New Roman" w:hAnsi="Times New Roman"/>
                <w:sz w:val="18"/>
                <w:szCs w:val="18"/>
              </w:rPr>
              <w:t>0-4分：根据评价对象文化</w:t>
            </w:r>
            <w:r>
              <w:rPr>
                <w:rFonts w:ascii="Times New Roman" w:hAnsi="Times New Roman"/>
                <w:sz w:val="18"/>
                <w:szCs w:val="18"/>
              </w:rPr>
              <w:t>IP</w:t>
            </w:r>
            <w:r>
              <w:rPr>
                <w:rFonts w:hint="eastAsia" w:ascii="Times New Roman" w:hAnsi="Times New Roman"/>
                <w:sz w:val="18"/>
                <w:szCs w:val="18"/>
              </w:rPr>
              <w:t>与片区文化的匹配性、差异性与认同性</w:t>
            </w:r>
            <w:r>
              <w:rPr>
                <w:rFonts w:hint="eastAsia" w:ascii="Times New Roman" w:hAnsi="Times New Roman" w:cs="Times New Roman"/>
                <w:kern w:val="2"/>
                <w:sz w:val="18"/>
                <w:szCs w:val="18"/>
              </w:rPr>
              <w:t>等表现，</w:t>
            </w:r>
            <w:r>
              <w:rPr>
                <w:rFonts w:hint="eastAsia" w:ascii="Times New Roman" w:hAnsi="Times New Roman"/>
                <w:sz w:val="18"/>
                <w:szCs w:val="18"/>
              </w:rPr>
              <w:t>按较好偏上、较好、一般偏上、一般、较差，分别给予4分、3分、</w:t>
            </w:r>
            <w:r>
              <w:rPr>
                <w:rFonts w:hint="eastAsia" w:ascii="Times New Roman" w:hAnsi="Times New Roman" w:cs="Times New Roman"/>
                <w:kern w:val="2"/>
                <w:sz w:val="18"/>
                <w:szCs w:val="18"/>
              </w:rPr>
              <w:t>2分、1分、0分</w:t>
            </w:r>
            <w:r>
              <w:rPr>
                <w:rFonts w:hint="eastAsia" w:ascii="Times New Roman" w:hAnsi="Times New Roman"/>
                <w:sz w:val="18"/>
                <w:szCs w:val="18"/>
              </w:rPr>
              <w:t>。</w:t>
            </w:r>
          </w:p>
        </w:tc>
        <w:tc>
          <w:tcPr>
            <w:tcW w:w="851" w:type="dxa"/>
            <w:tcBorders>
              <w:top w:val="single" w:color="auto" w:sz="4" w:space="0"/>
              <w:left w:val="single" w:color="auto" w:sz="4" w:space="0"/>
              <w:right w:val="single" w:color="auto" w:sz="4" w:space="0"/>
            </w:tcBorders>
            <w:vAlign w:val="center"/>
          </w:tcPr>
          <w:p w14:paraId="686E8911">
            <w:pPr>
              <w:pStyle w:val="6"/>
              <w:tabs>
                <w:tab w:val="center" w:pos="4201"/>
                <w:tab w:val="right" w:leader="dot" w:pos="9298"/>
              </w:tabs>
              <w:autoSpaceDE w:val="0"/>
              <w:autoSpaceDN w:val="0"/>
              <w:spacing w:before="0" w:beforeAutospacing="0" w:after="0" w:afterAutospacing="0"/>
              <w:jc w:val="both"/>
              <w:rPr>
                <w:rFonts w:ascii="Times New Roman" w:hAnsi="Times New Roman"/>
                <w:sz w:val="18"/>
                <w:szCs w:val="18"/>
              </w:rPr>
            </w:pPr>
            <w:r>
              <w:rPr>
                <w:rFonts w:hint="eastAsia" w:ascii="Times New Roman" w:hAnsi="Times New Roman" w:cs="Times New Roman"/>
                <w:kern w:val="2"/>
                <w:sz w:val="18"/>
                <w:szCs w:val="18"/>
              </w:rPr>
              <w:t>【0-</w:t>
            </w:r>
            <w:r>
              <w:rPr>
                <w:rFonts w:hint="eastAsia" w:ascii="Times New Roman" w:hAnsi="Times New Roman"/>
                <w:sz w:val="18"/>
                <w:szCs w:val="18"/>
              </w:rPr>
              <w:t>5</w:t>
            </w:r>
            <w:r>
              <w:rPr>
                <w:rFonts w:hint="eastAsia" w:ascii="Times New Roman" w:hAnsi="Times New Roman" w:cs="Times New Roman"/>
                <w:kern w:val="2"/>
                <w:sz w:val="18"/>
                <w:szCs w:val="18"/>
              </w:rPr>
              <w:t>】</w:t>
            </w:r>
          </w:p>
        </w:tc>
      </w:tr>
      <w:tr w14:paraId="680E4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738" w:type="dxa"/>
            <w:vMerge w:val="continue"/>
            <w:tcBorders>
              <w:left w:val="single" w:color="auto" w:sz="4" w:space="0"/>
              <w:right w:val="single" w:color="auto" w:sz="4" w:space="0"/>
            </w:tcBorders>
            <w:vAlign w:val="center"/>
          </w:tcPr>
          <w:p w14:paraId="678DA505">
            <w:pPr>
              <w:spacing w:line="240" w:lineRule="auto"/>
              <w:jc w:val="center"/>
              <w:rPr>
                <w:rFonts w:ascii="Times New Roman" w:hAnsi="Times New Roman"/>
                <w:sz w:val="18"/>
                <w:szCs w:val="18"/>
              </w:rPr>
            </w:pPr>
          </w:p>
        </w:tc>
        <w:tc>
          <w:tcPr>
            <w:tcW w:w="709" w:type="dxa"/>
            <w:vMerge w:val="continue"/>
            <w:tcBorders>
              <w:top w:val="single" w:color="auto" w:sz="4" w:space="0"/>
              <w:left w:val="single" w:color="auto" w:sz="4" w:space="0"/>
              <w:right w:val="single" w:color="auto" w:sz="4" w:space="0"/>
            </w:tcBorders>
            <w:vAlign w:val="center"/>
          </w:tcPr>
          <w:p w14:paraId="4000A34F">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color w:val="000000" w:themeColor="text1"/>
                <w:kern w:val="2"/>
                <w:sz w:val="18"/>
                <w:szCs w:val="18"/>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14:paraId="7385D627">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构建</w:t>
            </w:r>
            <w:r>
              <w:rPr>
                <w:rFonts w:ascii="Times New Roman" w:hAnsi="Times New Roman" w:cs="Times New Roman"/>
                <w:kern w:val="2"/>
                <w:sz w:val="18"/>
                <w:szCs w:val="18"/>
              </w:rPr>
              <w:t>IP</w:t>
            </w:r>
            <w:r>
              <w:rPr>
                <w:rFonts w:hint="eastAsia" w:ascii="Times New Roman" w:hAnsi="Times New Roman" w:cs="Times New Roman"/>
                <w:kern w:val="2"/>
                <w:sz w:val="18"/>
                <w:szCs w:val="18"/>
              </w:rPr>
              <w:t>矩阵</w:t>
            </w:r>
          </w:p>
        </w:tc>
        <w:tc>
          <w:tcPr>
            <w:tcW w:w="2410" w:type="dxa"/>
            <w:tcBorders>
              <w:top w:val="single" w:color="auto" w:sz="4" w:space="0"/>
              <w:left w:val="single" w:color="auto" w:sz="4" w:space="0"/>
              <w:right w:val="single" w:color="auto" w:sz="4" w:space="0"/>
            </w:tcBorders>
            <w:vAlign w:val="center"/>
          </w:tcPr>
          <w:p w14:paraId="707588CE">
            <w:pPr>
              <w:pStyle w:val="6"/>
              <w:tabs>
                <w:tab w:val="center" w:pos="4201"/>
                <w:tab w:val="right" w:leader="dot" w:pos="9298"/>
              </w:tabs>
              <w:autoSpaceDE w:val="0"/>
              <w:autoSpaceDN w:val="0"/>
              <w:spacing w:before="0" w:beforeAutospacing="0" w:after="0" w:afterAutospacing="0"/>
              <w:jc w:val="both"/>
              <w:rPr>
                <w:rFonts w:ascii="Times New Roman" w:hAnsi="Times New Roman"/>
                <w:sz w:val="18"/>
                <w:szCs w:val="18"/>
              </w:rPr>
            </w:pPr>
            <w:r>
              <w:rPr>
                <w:rFonts w:hint="eastAsia" w:ascii="Times New Roman" w:hAnsi="Times New Roman"/>
                <w:sz w:val="18"/>
                <w:szCs w:val="18"/>
              </w:rPr>
              <w:t>尊重各村庄文化的差异性，构建片区组团文化</w:t>
            </w:r>
            <w:r>
              <w:rPr>
                <w:rFonts w:ascii="Times New Roman" w:hAnsi="Times New Roman"/>
                <w:sz w:val="18"/>
                <w:szCs w:val="18"/>
              </w:rPr>
              <w:t>IP</w:t>
            </w:r>
            <w:r>
              <w:rPr>
                <w:rFonts w:hint="eastAsia" w:ascii="Times New Roman" w:hAnsi="Times New Roman"/>
                <w:sz w:val="18"/>
                <w:szCs w:val="18"/>
              </w:rPr>
              <w:t>与各村庄个性文化之间</w:t>
            </w:r>
            <w:r>
              <w:rPr>
                <w:rFonts w:ascii="Times New Roman" w:hAnsi="Times New Roman"/>
                <w:sz w:val="18"/>
                <w:szCs w:val="18"/>
              </w:rPr>
              <w:t>IP</w:t>
            </w:r>
            <w:r>
              <w:rPr>
                <w:rFonts w:hint="eastAsia" w:ascii="Times New Roman" w:hAnsi="Times New Roman"/>
                <w:sz w:val="18"/>
                <w:szCs w:val="18"/>
              </w:rPr>
              <w:t>矩阵。</w:t>
            </w:r>
          </w:p>
        </w:tc>
        <w:tc>
          <w:tcPr>
            <w:tcW w:w="3118" w:type="dxa"/>
            <w:tcBorders>
              <w:top w:val="single" w:color="auto" w:sz="4" w:space="0"/>
              <w:left w:val="single" w:color="auto" w:sz="4" w:space="0"/>
              <w:right w:val="single" w:color="auto" w:sz="4" w:space="0"/>
            </w:tcBorders>
          </w:tcPr>
          <w:p w14:paraId="78B5141E">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4分：在保持各村庄文化个性和应用的同时，实现片区文化</w:t>
            </w:r>
            <w:r>
              <w:rPr>
                <w:rFonts w:ascii="Times New Roman" w:hAnsi="Times New Roman" w:cs="Times New Roman"/>
                <w:kern w:val="2"/>
                <w:sz w:val="18"/>
                <w:szCs w:val="18"/>
              </w:rPr>
              <w:t>IP</w:t>
            </w:r>
            <w:r>
              <w:rPr>
                <w:rFonts w:hint="eastAsia" w:ascii="Times New Roman" w:hAnsi="Times New Roman" w:cs="Times New Roman"/>
                <w:kern w:val="2"/>
                <w:sz w:val="18"/>
                <w:szCs w:val="18"/>
              </w:rPr>
              <w:t>与各村庄文化及其</w:t>
            </w:r>
            <w:r>
              <w:rPr>
                <w:rFonts w:ascii="Times New Roman" w:hAnsi="Times New Roman" w:cs="Times New Roman"/>
                <w:kern w:val="2"/>
                <w:sz w:val="18"/>
                <w:szCs w:val="18"/>
              </w:rPr>
              <w:t>IP</w:t>
            </w:r>
            <w:r>
              <w:rPr>
                <w:rFonts w:hint="eastAsia" w:ascii="Times New Roman" w:hAnsi="Times New Roman" w:cs="Times New Roman"/>
                <w:kern w:val="2"/>
                <w:sz w:val="18"/>
                <w:szCs w:val="18"/>
              </w:rPr>
              <w:t>的融合；</w:t>
            </w:r>
          </w:p>
          <w:p w14:paraId="46D88C2A">
            <w:pPr>
              <w:pStyle w:val="6"/>
              <w:tabs>
                <w:tab w:val="center" w:pos="4201"/>
                <w:tab w:val="right" w:leader="dot" w:pos="9298"/>
              </w:tabs>
              <w:autoSpaceDE w:val="0"/>
              <w:autoSpaceDN w:val="0"/>
              <w:spacing w:before="0" w:beforeAutospacing="0" w:after="0" w:afterAutospacing="0"/>
              <w:jc w:val="both"/>
              <w:rPr>
                <w:rFonts w:ascii="Times New Roman" w:hAnsi="Times New Roman"/>
                <w:sz w:val="18"/>
                <w:szCs w:val="18"/>
              </w:rPr>
            </w:pPr>
            <w:r>
              <w:rPr>
                <w:rFonts w:hint="eastAsia" w:ascii="Times New Roman" w:hAnsi="Times New Roman"/>
                <w:sz w:val="18"/>
                <w:szCs w:val="18"/>
              </w:rPr>
              <w:t>0-3分：根据评价对象各村庄文化个性特征以及与片区文化</w:t>
            </w:r>
            <w:r>
              <w:rPr>
                <w:rFonts w:ascii="Times New Roman" w:hAnsi="Times New Roman"/>
                <w:sz w:val="18"/>
                <w:szCs w:val="18"/>
              </w:rPr>
              <w:t>IP</w:t>
            </w:r>
            <w:r>
              <w:rPr>
                <w:rFonts w:hint="eastAsia" w:ascii="Times New Roman" w:hAnsi="Times New Roman"/>
                <w:sz w:val="18"/>
                <w:szCs w:val="18"/>
              </w:rPr>
              <w:t>的关联度、融合度</w:t>
            </w:r>
            <w:r>
              <w:rPr>
                <w:rFonts w:hint="eastAsia" w:ascii="Times New Roman" w:hAnsi="Times New Roman" w:cs="Times New Roman"/>
                <w:kern w:val="2"/>
                <w:sz w:val="18"/>
                <w:szCs w:val="18"/>
              </w:rPr>
              <w:t>，</w:t>
            </w:r>
            <w:r>
              <w:rPr>
                <w:rFonts w:hint="eastAsia" w:ascii="Times New Roman" w:hAnsi="Times New Roman"/>
                <w:sz w:val="18"/>
                <w:szCs w:val="18"/>
              </w:rPr>
              <w:t>按较好偏上、较好、一般、较差，分别给予3分、</w:t>
            </w:r>
            <w:r>
              <w:rPr>
                <w:rFonts w:hint="eastAsia" w:ascii="Times New Roman" w:hAnsi="Times New Roman" w:cs="Times New Roman"/>
                <w:kern w:val="2"/>
                <w:sz w:val="18"/>
                <w:szCs w:val="18"/>
              </w:rPr>
              <w:t>2分、1分、0分</w:t>
            </w:r>
            <w:r>
              <w:rPr>
                <w:rFonts w:hint="eastAsia" w:ascii="Times New Roman" w:hAnsi="Times New Roman"/>
                <w:sz w:val="18"/>
                <w:szCs w:val="18"/>
              </w:rPr>
              <w:t>。</w:t>
            </w:r>
          </w:p>
        </w:tc>
        <w:tc>
          <w:tcPr>
            <w:tcW w:w="851" w:type="dxa"/>
            <w:tcBorders>
              <w:top w:val="single" w:color="auto" w:sz="4" w:space="0"/>
              <w:left w:val="single" w:color="auto" w:sz="4" w:space="0"/>
              <w:right w:val="single" w:color="auto" w:sz="4" w:space="0"/>
            </w:tcBorders>
            <w:vAlign w:val="center"/>
          </w:tcPr>
          <w:p w14:paraId="0FA8A5B7">
            <w:pPr>
              <w:pStyle w:val="6"/>
              <w:tabs>
                <w:tab w:val="center" w:pos="4201"/>
                <w:tab w:val="right" w:leader="dot" w:pos="9298"/>
              </w:tabs>
              <w:autoSpaceDE w:val="0"/>
              <w:autoSpaceDN w:val="0"/>
              <w:spacing w:before="0" w:beforeAutospacing="0" w:after="0" w:afterAutospacing="0"/>
              <w:jc w:val="both"/>
              <w:rPr>
                <w:rFonts w:ascii="Times New Roman" w:hAnsi="Times New Roman"/>
                <w:sz w:val="18"/>
                <w:szCs w:val="18"/>
              </w:rPr>
            </w:pPr>
            <w:r>
              <w:rPr>
                <w:rFonts w:hint="eastAsia" w:ascii="Times New Roman" w:hAnsi="Times New Roman" w:cs="Times New Roman"/>
                <w:kern w:val="2"/>
                <w:sz w:val="18"/>
                <w:szCs w:val="18"/>
              </w:rPr>
              <w:t>【0-</w:t>
            </w:r>
            <w:r>
              <w:rPr>
                <w:rFonts w:hint="eastAsia" w:ascii="Times New Roman" w:hAnsi="Times New Roman"/>
                <w:sz w:val="18"/>
                <w:szCs w:val="18"/>
              </w:rPr>
              <w:t>4</w:t>
            </w:r>
            <w:r>
              <w:rPr>
                <w:rFonts w:hint="eastAsia" w:ascii="Times New Roman" w:hAnsi="Times New Roman" w:cs="Times New Roman"/>
                <w:kern w:val="2"/>
                <w:sz w:val="18"/>
                <w:szCs w:val="18"/>
              </w:rPr>
              <w:t>】</w:t>
            </w:r>
          </w:p>
        </w:tc>
      </w:tr>
      <w:tr w14:paraId="05CEC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trPr>
        <w:tc>
          <w:tcPr>
            <w:tcW w:w="738" w:type="dxa"/>
            <w:vMerge w:val="continue"/>
            <w:tcBorders>
              <w:left w:val="single" w:color="auto" w:sz="4" w:space="0"/>
              <w:right w:val="single" w:color="auto" w:sz="4" w:space="0"/>
            </w:tcBorders>
            <w:vAlign w:val="center"/>
          </w:tcPr>
          <w:p w14:paraId="0643E255">
            <w:pPr>
              <w:spacing w:line="240" w:lineRule="auto"/>
              <w:jc w:val="center"/>
              <w:rPr>
                <w:rFonts w:ascii="Times New Roman" w:hAnsi="Times New Roman"/>
                <w:sz w:val="18"/>
                <w:szCs w:val="18"/>
              </w:rPr>
            </w:pPr>
          </w:p>
        </w:tc>
        <w:tc>
          <w:tcPr>
            <w:tcW w:w="709" w:type="dxa"/>
            <w:vMerge w:val="continue"/>
            <w:tcBorders>
              <w:left w:val="single" w:color="auto" w:sz="4" w:space="0"/>
              <w:right w:val="single" w:color="auto" w:sz="4" w:space="0"/>
            </w:tcBorders>
            <w:vAlign w:val="center"/>
          </w:tcPr>
          <w:p w14:paraId="754E8E9F">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color w:val="C00000"/>
                <w:kern w:val="2"/>
                <w:sz w:val="18"/>
                <w:szCs w:val="18"/>
              </w:rPr>
            </w:pPr>
          </w:p>
        </w:tc>
        <w:tc>
          <w:tcPr>
            <w:tcW w:w="1417" w:type="dxa"/>
            <w:tcBorders>
              <w:top w:val="single" w:color="auto" w:sz="4" w:space="0"/>
              <w:left w:val="single" w:color="auto" w:sz="4" w:space="0"/>
              <w:bottom w:val="single" w:color="auto" w:sz="4" w:space="0"/>
              <w:right w:val="single" w:color="auto" w:sz="4" w:space="0"/>
            </w:tcBorders>
            <w:vAlign w:val="center"/>
          </w:tcPr>
          <w:p w14:paraId="61C26F5B">
            <w:pPr>
              <w:pStyle w:val="6"/>
              <w:tabs>
                <w:tab w:val="center" w:pos="4201"/>
                <w:tab w:val="right" w:leader="dot" w:pos="9298"/>
              </w:tabs>
              <w:autoSpaceDE w:val="0"/>
              <w:autoSpaceDN w:val="0"/>
              <w:spacing w:before="0" w:beforeAutospacing="0" w:after="0" w:afterAutospacing="0"/>
              <w:jc w:val="center"/>
              <w:rPr>
                <w:rFonts w:ascii="Times New Roman" w:hAnsi="Times New Roman" w:cs="Times New Roman"/>
                <w:kern w:val="2"/>
                <w:sz w:val="18"/>
                <w:szCs w:val="18"/>
              </w:rPr>
            </w:pPr>
            <w:r>
              <w:rPr>
                <w:rFonts w:hint="eastAsia" w:ascii="Times New Roman" w:hAnsi="Times New Roman" w:cs="Times New Roman"/>
                <w:kern w:val="2"/>
                <w:sz w:val="18"/>
                <w:szCs w:val="18"/>
              </w:rPr>
              <w:t>活化</w:t>
            </w:r>
            <w:r>
              <w:rPr>
                <w:rFonts w:ascii="Times New Roman" w:hAnsi="Times New Roman" w:cs="Times New Roman"/>
                <w:kern w:val="2"/>
                <w:sz w:val="18"/>
                <w:szCs w:val="18"/>
              </w:rPr>
              <w:t>IP</w:t>
            </w:r>
            <w:r>
              <w:rPr>
                <w:rFonts w:hint="eastAsia" w:ascii="Times New Roman" w:hAnsi="Times New Roman" w:cs="Times New Roman"/>
                <w:kern w:val="2"/>
                <w:sz w:val="18"/>
                <w:szCs w:val="18"/>
              </w:rPr>
              <w:t>场景</w:t>
            </w:r>
          </w:p>
        </w:tc>
        <w:tc>
          <w:tcPr>
            <w:tcW w:w="2410" w:type="dxa"/>
            <w:tcBorders>
              <w:top w:val="single" w:color="auto" w:sz="4" w:space="0"/>
              <w:left w:val="single" w:color="auto" w:sz="4" w:space="0"/>
              <w:right w:val="single" w:color="auto" w:sz="4" w:space="0"/>
            </w:tcBorders>
            <w:vAlign w:val="center"/>
          </w:tcPr>
          <w:p w14:paraId="7B36F12A">
            <w:pPr>
              <w:snapToGrid w:val="0"/>
              <w:spacing w:line="240" w:lineRule="auto"/>
              <w:jc w:val="left"/>
              <w:rPr>
                <w:rFonts w:ascii="Times New Roman" w:hAnsi="Times New Roman"/>
                <w:sz w:val="18"/>
                <w:szCs w:val="18"/>
              </w:rPr>
            </w:pPr>
            <w:r>
              <w:rPr>
                <w:rFonts w:hint="eastAsia" w:ascii="Times New Roman" w:hAnsi="Times New Roman"/>
                <w:sz w:val="18"/>
                <w:szCs w:val="18"/>
              </w:rPr>
              <w:t>在空间、产品、服务、活动、文旅、文创、节庆等场景中广泛应用文化</w:t>
            </w:r>
            <w:r>
              <w:rPr>
                <w:rFonts w:ascii="Times New Roman" w:hAnsi="Times New Roman"/>
                <w:sz w:val="18"/>
                <w:szCs w:val="18"/>
              </w:rPr>
              <w:t>IP</w:t>
            </w:r>
            <w:r>
              <w:rPr>
                <w:rFonts w:hint="eastAsia" w:ascii="Times New Roman" w:hAnsi="Times New Roman"/>
                <w:sz w:val="18"/>
                <w:szCs w:val="18"/>
              </w:rPr>
              <w:t>。</w:t>
            </w:r>
          </w:p>
        </w:tc>
        <w:tc>
          <w:tcPr>
            <w:tcW w:w="3118" w:type="dxa"/>
            <w:tcBorders>
              <w:top w:val="single" w:color="auto" w:sz="4" w:space="0"/>
              <w:left w:val="single" w:color="auto" w:sz="4" w:space="0"/>
              <w:right w:val="single" w:color="auto" w:sz="4" w:space="0"/>
            </w:tcBorders>
          </w:tcPr>
          <w:p w14:paraId="565A4F82">
            <w:pPr>
              <w:pStyle w:val="6"/>
              <w:tabs>
                <w:tab w:val="center" w:pos="4201"/>
                <w:tab w:val="right" w:leader="dot" w:pos="9298"/>
              </w:tabs>
              <w:autoSpaceDE w:val="0"/>
              <w:autoSpaceDN w:val="0"/>
              <w:spacing w:before="0" w:beforeAutospacing="0" w:after="0" w:afterAutospacing="0"/>
              <w:jc w:val="both"/>
              <w:rPr>
                <w:rFonts w:ascii="Times New Roman" w:hAnsi="Times New Roman" w:cs="Times New Roman"/>
                <w:kern w:val="2"/>
                <w:sz w:val="18"/>
                <w:szCs w:val="18"/>
              </w:rPr>
            </w:pPr>
            <w:r>
              <w:rPr>
                <w:rFonts w:hint="eastAsia" w:ascii="Times New Roman" w:hAnsi="Times New Roman" w:cs="Times New Roman"/>
                <w:kern w:val="2"/>
                <w:sz w:val="18"/>
                <w:szCs w:val="18"/>
              </w:rPr>
              <w:t>5分：片区文化</w:t>
            </w:r>
            <w:r>
              <w:rPr>
                <w:rFonts w:ascii="Times New Roman" w:hAnsi="Times New Roman" w:cs="Times New Roman"/>
                <w:kern w:val="2"/>
                <w:sz w:val="18"/>
                <w:szCs w:val="18"/>
              </w:rPr>
              <w:t>IP</w:t>
            </w:r>
            <w:r>
              <w:rPr>
                <w:rFonts w:hint="eastAsia" w:ascii="Times New Roman" w:hAnsi="Times New Roman" w:cs="Times New Roman"/>
                <w:kern w:val="2"/>
                <w:sz w:val="18"/>
                <w:szCs w:val="18"/>
              </w:rPr>
              <w:t>在域内各种场景的创新应用，效果显著；</w:t>
            </w:r>
          </w:p>
          <w:p w14:paraId="3DD077A4">
            <w:pPr>
              <w:snapToGrid w:val="0"/>
              <w:spacing w:line="240" w:lineRule="auto"/>
              <w:jc w:val="left"/>
              <w:rPr>
                <w:rFonts w:ascii="Times New Roman" w:hAnsi="Times New Roman"/>
                <w:sz w:val="18"/>
                <w:szCs w:val="18"/>
              </w:rPr>
            </w:pPr>
            <w:r>
              <w:rPr>
                <w:rFonts w:hint="eastAsia" w:ascii="Times New Roman" w:hAnsi="Times New Roman"/>
                <w:sz w:val="18"/>
                <w:szCs w:val="18"/>
              </w:rPr>
              <w:t>0-4分：根据评价对象文化</w:t>
            </w:r>
            <w:r>
              <w:rPr>
                <w:rFonts w:ascii="Times New Roman" w:hAnsi="Times New Roman"/>
                <w:sz w:val="18"/>
                <w:szCs w:val="18"/>
              </w:rPr>
              <w:t>IP</w:t>
            </w:r>
            <w:r>
              <w:rPr>
                <w:rFonts w:hint="eastAsia" w:ascii="Times New Roman" w:hAnsi="Times New Roman"/>
                <w:sz w:val="18"/>
                <w:szCs w:val="18"/>
              </w:rPr>
              <w:t>在空间、产品、服务、活动、文旅、文创、节庆等场景应用的多少及效果，按较好偏上、较好、一般偏上、一般、较差，分别给予4分、3分、2分、1分、0分。</w:t>
            </w:r>
          </w:p>
        </w:tc>
        <w:tc>
          <w:tcPr>
            <w:tcW w:w="851" w:type="dxa"/>
            <w:tcBorders>
              <w:top w:val="single" w:color="auto" w:sz="4" w:space="0"/>
              <w:left w:val="single" w:color="auto" w:sz="4" w:space="0"/>
              <w:right w:val="single" w:color="auto" w:sz="4" w:space="0"/>
            </w:tcBorders>
            <w:vAlign w:val="center"/>
          </w:tcPr>
          <w:p w14:paraId="568ACDD0">
            <w:pPr>
              <w:snapToGrid w:val="0"/>
              <w:spacing w:line="240" w:lineRule="auto"/>
              <w:jc w:val="left"/>
              <w:rPr>
                <w:rFonts w:ascii="Times New Roman" w:hAnsi="Times New Roman"/>
                <w:sz w:val="18"/>
                <w:szCs w:val="18"/>
              </w:rPr>
            </w:pPr>
            <w:r>
              <w:rPr>
                <w:rFonts w:hint="eastAsia" w:ascii="Times New Roman" w:hAnsi="Times New Roman"/>
                <w:sz w:val="18"/>
                <w:szCs w:val="18"/>
              </w:rPr>
              <w:t>【0-5】</w:t>
            </w:r>
          </w:p>
        </w:tc>
      </w:tr>
    </w:tbl>
    <w:p w14:paraId="657ED199"/>
    <w:p w14:paraId="2973EB28">
      <w:pPr>
        <w:spacing w:before="120" w:beforeLines="50" w:after="120" w:afterLines="50"/>
        <w:rPr>
          <w:rFonts w:hint="eastAsia" w:ascii="黑体" w:hAnsi="黑体" w:eastAsia="黑体"/>
        </w:rPr>
      </w:pPr>
    </w:p>
    <w:p w14:paraId="3FB56714">
      <w:pPr>
        <w:pStyle w:val="29"/>
        <w:spacing w:after="120"/>
      </w:pPr>
      <w:bookmarkStart w:id="70" w:name="_Toc228868573"/>
      <w:r>
        <w:rPr>
          <w:rFonts w:hint="eastAsia"/>
        </w:rPr>
        <w:t>品牌乡村评价结论表</w:t>
      </w:r>
      <w:bookmarkEnd w:id="70"/>
    </w:p>
    <w:p w14:paraId="1345BFD1">
      <w:pPr>
        <w:pStyle w:val="29"/>
        <w:numPr>
          <w:ilvl w:val="0"/>
          <w:numId w:val="0"/>
        </w:numPr>
        <w:spacing w:after="120"/>
      </w:pPr>
      <w:bookmarkStart w:id="71" w:name="_Toc228868574"/>
      <w:r>
        <w:rPr>
          <w:rFonts w:hint="eastAsia" w:hAnsi="黑体" w:cs="黑体"/>
        </w:rPr>
        <w:t>表</w:t>
      </w:r>
      <w:r>
        <w:rPr>
          <w:rFonts w:hAnsi="黑体" w:cs="黑体"/>
        </w:rPr>
        <w:t>B</w:t>
      </w:r>
      <w:r>
        <w:rPr>
          <w:rFonts w:hint="eastAsia" w:hAnsi="黑体" w:cs="黑体"/>
        </w:rPr>
        <w:t xml:space="preserve">  </w:t>
      </w:r>
      <w:r>
        <w:rPr>
          <w:rFonts w:hint="eastAsia"/>
        </w:rPr>
        <w:t>品牌乡村评价结论表</w:t>
      </w:r>
      <w:bookmarkEnd w:id="71"/>
    </w:p>
    <w:tbl>
      <w:tblPr>
        <w:tblStyle w:val="7"/>
        <w:tblW w:w="95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141"/>
        <w:gridCol w:w="4111"/>
        <w:gridCol w:w="1371"/>
        <w:gridCol w:w="2393"/>
      </w:tblGrid>
      <w:tr w14:paraId="4A0AD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696" w:type="dxa"/>
            <w:gridSpan w:val="2"/>
            <w:vAlign w:val="center"/>
          </w:tcPr>
          <w:p w14:paraId="75DC682C">
            <w:pPr>
              <w:pStyle w:val="26"/>
              <w:widowControl w:val="0"/>
              <w:ind w:firstLine="0" w:firstLineChars="0"/>
              <w:jc w:val="center"/>
              <w:rPr>
                <w:rFonts w:ascii="Times New Roman" w:hAnsi="Times New Roman"/>
                <w:sz w:val="18"/>
                <w:szCs w:val="18"/>
              </w:rPr>
            </w:pPr>
            <w:r>
              <w:rPr>
                <w:rFonts w:hint="eastAsia" w:ascii="Times New Roman" w:hAnsi="Times New Roman"/>
                <w:sz w:val="18"/>
                <w:szCs w:val="18"/>
              </w:rPr>
              <w:t>申报单位名称</w:t>
            </w:r>
          </w:p>
        </w:tc>
        <w:tc>
          <w:tcPr>
            <w:tcW w:w="4111" w:type="dxa"/>
            <w:vAlign w:val="center"/>
          </w:tcPr>
          <w:p w14:paraId="2395697B">
            <w:pPr>
              <w:pStyle w:val="26"/>
              <w:widowControl w:val="0"/>
              <w:ind w:firstLine="0" w:firstLineChars="0"/>
              <w:rPr>
                <w:rFonts w:ascii="Times New Roman" w:hAnsi="Times New Roman"/>
                <w:sz w:val="18"/>
                <w:szCs w:val="18"/>
              </w:rPr>
            </w:pPr>
          </w:p>
        </w:tc>
        <w:tc>
          <w:tcPr>
            <w:tcW w:w="1371" w:type="dxa"/>
            <w:vAlign w:val="center"/>
          </w:tcPr>
          <w:p w14:paraId="35FC5326">
            <w:pPr>
              <w:pStyle w:val="26"/>
              <w:widowControl w:val="0"/>
              <w:ind w:firstLine="0" w:firstLineChars="0"/>
              <w:jc w:val="center"/>
              <w:rPr>
                <w:rFonts w:ascii="Times New Roman" w:hAnsi="Times New Roman"/>
                <w:sz w:val="18"/>
                <w:szCs w:val="18"/>
              </w:rPr>
            </w:pPr>
            <w:r>
              <w:rPr>
                <w:rFonts w:hint="eastAsia" w:ascii="Times New Roman" w:hAnsi="Times New Roman"/>
                <w:sz w:val="18"/>
                <w:szCs w:val="18"/>
              </w:rPr>
              <w:t>品牌乡村名称</w:t>
            </w:r>
          </w:p>
        </w:tc>
        <w:tc>
          <w:tcPr>
            <w:tcW w:w="2393" w:type="dxa"/>
            <w:vAlign w:val="center"/>
          </w:tcPr>
          <w:p w14:paraId="2C0EACE0">
            <w:pPr>
              <w:pStyle w:val="26"/>
              <w:widowControl w:val="0"/>
              <w:ind w:firstLine="0" w:firstLineChars="0"/>
              <w:rPr>
                <w:rFonts w:ascii="Times New Roman" w:hAnsi="Times New Roman"/>
                <w:sz w:val="18"/>
                <w:szCs w:val="18"/>
              </w:rPr>
            </w:pPr>
          </w:p>
        </w:tc>
      </w:tr>
      <w:tr w14:paraId="22F3C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96" w:type="dxa"/>
            <w:gridSpan w:val="2"/>
            <w:vAlign w:val="center"/>
          </w:tcPr>
          <w:p w14:paraId="1E2FC7D9">
            <w:pPr>
              <w:pStyle w:val="26"/>
              <w:widowControl w:val="0"/>
              <w:ind w:firstLine="0" w:firstLineChars="0"/>
              <w:jc w:val="center"/>
              <w:rPr>
                <w:rFonts w:ascii="Times New Roman" w:hAnsi="Times New Roman"/>
                <w:sz w:val="18"/>
                <w:szCs w:val="18"/>
              </w:rPr>
            </w:pPr>
            <w:r>
              <w:rPr>
                <w:rFonts w:hint="eastAsia" w:ascii="Times New Roman" w:hAnsi="Times New Roman"/>
                <w:sz w:val="18"/>
                <w:szCs w:val="18"/>
              </w:rPr>
              <w:t>评价时间</w:t>
            </w:r>
          </w:p>
        </w:tc>
        <w:tc>
          <w:tcPr>
            <w:tcW w:w="7875" w:type="dxa"/>
            <w:gridSpan w:val="3"/>
            <w:vAlign w:val="center"/>
          </w:tcPr>
          <w:p w14:paraId="2A128136">
            <w:pPr>
              <w:pStyle w:val="26"/>
              <w:widowControl w:val="0"/>
              <w:ind w:firstLine="0" w:firstLineChars="0"/>
              <w:rPr>
                <w:rFonts w:ascii="Times New Roman" w:hAnsi="Times New Roman"/>
                <w:sz w:val="18"/>
                <w:szCs w:val="18"/>
              </w:rPr>
            </w:pPr>
          </w:p>
        </w:tc>
      </w:tr>
      <w:tr w14:paraId="30E3B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0" w:hRule="atLeast"/>
          <w:jc w:val="center"/>
        </w:trPr>
        <w:tc>
          <w:tcPr>
            <w:tcW w:w="9571" w:type="dxa"/>
            <w:gridSpan w:val="5"/>
          </w:tcPr>
          <w:p w14:paraId="7C8C63F6">
            <w:pPr>
              <w:pStyle w:val="26"/>
              <w:widowControl w:val="0"/>
              <w:adjustRightInd w:val="0"/>
              <w:snapToGrid w:val="0"/>
              <w:spacing w:before="120" w:beforeLines="50" w:line="360" w:lineRule="auto"/>
              <w:ind w:firstLine="0" w:firstLineChars="0"/>
              <w:rPr>
                <w:rFonts w:ascii="Times New Roman" w:hAnsi="Times New Roman"/>
                <w:sz w:val="18"/>
                <w:szCs w:val="18"/>
              </w:rPr>
            </w:pPr>
            <w:r>
              <w:rPr>
                <w:rFonts w:hint="eastAsia" w:ascii="Times New Roman" w:hAnsi="Times New Roman"/>
                <w:sz w:val="18"/>
                <w:szCs w:val="18"/>
              </w:rPr>
              <w:t>评价意见：</w:t>
            </w:r>
          </w:p>
        </w:tc>
      </w:tr>
      <w:tr w14:paraId="4C703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555" w:type="dxa"/>
            <w:vAlign w:val="bottom"/>
          </w:tcPr>
          <w:p w14:paraId="1536C944">
            <w:pPr>
              <w:pStyle w:val="26"/>
              <w:widowControl w:val="0"/>
              <w:adjustRightInd w:val="0"/>
              <w:snapToGrid w:val="0"/>
              <w:spacing w:before="120" w:beforeLines="50" w:line="360" w:lineRule="auto"/>
              <w:ind w:firstLine="0" w:firstLineChars="0"/>
              <w:rPr>
                <w:rFonts w:ascii="Times New Roman" w:hAnsi="Times New Roman"/>
                <w:sz w:val="18"/>
                <w:szCs w:val="18"/>
              </w:rPr>
            </w:pPr>
            <w:r>
              <w:rPr>
                <w:rFonts w:hint="eastAsia" w:ascii="Times New Roman" w:hAnsi="Times New Roman"/>
                <w:sz w:val="18"/>
                <w:szCs w:val="18"/>
              </w:rPr>
              <w:t xml:space="preserve">评价结论                                                   </w:t>
            </w:r>
          </w:p>
        </w:tc>
        <w:tc>
          <w:tcPr>
            <w:tcW w:w="4252" w:type="dxa"/>
            <w:gridSpan w:val="2"/>
            <w:vAlign w:val="bottom"/>
          </w:tcPr>
          <w:p w14:paraId="1EFF091A">
            <w:pPr>
              <w:pStyle w:val="26"/>
              <w:widowControl w:val="0"/>
              <w:adjustRightInd w:val="0"/>
              <w:snapToGrid w:val="0"/>
              <w:spacing w:before="120" w:beforeLines="50" w:line="360" w:lineRule="auto"/>
              <w:ind w:firstLine="0" w:firstLineChars="0"/>
              <w:rPr>
                <w:rFonts w:ascii="Times New Roman" w:hAnsi="Times New Roman"/>
                <w:sz w:val="18"/>
                <w:szCs w:val="18"/>
              </w:rPr>
            </w:pPr>
            <w:r>
              <w:rPr>
                <w:rFonts w:ascii="Times New Roman" w:hAnsi="Times New Roman"/>
                <w:sz w:val="18"/>
                <w:szCs w:val="18"/>
              </w:rPr>
              <mc:AlternateContent>
                <mc:Choice Requires="wps">
                  <w:drawing>
                    <wp:anchor distT="0" distB="0" distL="114300" distR="114300" simplePos="0" relativeHeight="251664384" behindDoc="0" locked="0" layoutInCell="1" allowOverlap="1">
                      <wp:simplePos x="0" y="0"/>
                      <wp:positionH relativeFrom="column">
                        <wp:posOffset>1784350</wp:posOffset>
                      </wp:positionH>
                      <wp:positionV relativeFrom="paragraph">
                        <wp:posOffset>91440</wp:posOffset>
                      </wp:positionV>
                      <wp:extent cx="114300" cy="99060"/>
                      <wp:effectExtent l="4445" t="4445" r="14605" b="10795"/>
                      <wp:wrapNone/>
                      <wp:docPr id="644327565" name="矩形 644327565"/>
                      <wp:cNvGraphicFramePr/>
                      <a:graphic xmlns:a="http://schemas.openxmlformats.org/drawingml/2006/main">
                        <a:graphicData uri="http://schemas.microsoft.com/office/word/2010/wordprocessingShape">
                          <wps:wsp>
                            <wps:cNvSpPr/>
                            <wps:spPr>
                              <a:xfrm>
                                <a:off x="0" y="0"/>
                                <a:ext cx="114300" cy="990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1475003"/>
                              </w:txbxContent>
                            </wps:txbx>
                            <wps:bodyPr upright="1"/>
                          </wps:wsp>
                        </a:graphicData>
                      </a:graphic>
                    </wp:anchor>
                  </w:drawing>
                </mc:Choice>
                <mc:Fallback>
                  <w:pict>
                    <v:rect id="_x0000_s1026" o:spid="_x0000_s1026" o:spt="1" style="position:absolute;left:0pt;margin-left:140.5pt;margin-top:7.2pt;height:7.8pt;width:9pt;z-index:251664384;mso-width-relative:page;mso-height-relative:page;" fillcolor="#FFFFFF" filled="t" stroked="t" coordsize="21600,21600" o:gfxdata="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JQpe17XAAAACQEAAA8AAAAAAAAAAQAgAAAAIgAA&#10;AGRycy9kb3ducmV2LnhtbFBLAQIUABQAAAAIAIdO4kB3flfBCQIAADcEAAAOAAAAAAAAAAEAIAAA&#10;ACYBAABkcnMvZTJvRG9jLnhtbFBLBQYAAAAABgAGAFkBAAChBQAAAAA=&#10;">
                      <v:fill on="t" focussize="0,0"/>
                      <v:stroke color="#000000" joinstyle="miter"/>
                      <v:imagedata o:title=""/>
                      <o:lock v:ext="edit" aspectratio="f"/>
                      <v:textbox>
                        <w:txbxContent>
                          <w:p w14:paraId="71475003"/>
                        </w:txbxContent>
                      </v:textbox>
                    </v:rect>
                  </w:pict>
                </mc:Fallback>
              </mc:AlternateContent>
            </w:r>
            <w:r>
              <w:rPr>
                <w:rFonts w:ascii="Times New Roman" w:hAnsi="Times New Roman"/>
                <w:sz w:val="18"/>
                <w:szCs w:val="18"/>
              </w:rPr>
              <mc:AlternateContent>
                <mc:Choice Requires="wps">
                  <w:drawing>
                    <wp:anchor distT="0" distB="0" distL="114300" distR="114300" simplePos="0" relativeHeight="251663360" behindDoc="0" locked="0" layoutInCell="1" allowOverlap="1">
                      <wp:simplePos x="0" y="0"/>
                      <wp:positionH relativeFrom="column">
                        <wp:posOffset>1193165</wp:posOffset>
                      </wp:positionH>
                      <wp:positionV relativeFrom="paragraph">
                        <wp:posOffset>97155</wp:posOffset>
                      </wp:positionV>
                      <wp:extent cx="114300" cy="99060"/>
                      <wp:effectExtent l="4445" t="4445" r="14605" b="10795"/>
                      <wp:wrapNone/>
                      <wp:docPr id="1141288360" name="矩形 1141288360"/>
                      <wp:cNvGraphicFramePr/>
                      <a:graphic xmlns:a="http://schemas.openxmlformats.org/drawingml/2006/main">
                        <a:graphicData uri="http://schemas.microsoft.com/office/word/2010/wordprocessingShape">
                          <wps:wsp>
                            <wps:cNvSpPr/>
                            <wps:spPr>
                              <a:xfrm>
                                <a:off x="0" y="0"/>
                                <a:ext cx="114300" cy="990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F76BBE4"/>
                              </w:txbxContent>
                            </wps:txbx>
                            <wps:bodyPr upright="1"/>
                          </wps:wsp>
                        </a:graphicData>
                      </a:graphic>
                    </wp:anchor>
                  </w:drawing>
                </mc:Choice>
                <mc:Fallback>
                  <w:pict>
                    <v:rect id="_x0000_s1026" o:spid="_x0000_s1026" o:spt="1" style="position:absolute;left:0pt;margin-left:93.95pt;margin-top:7.65pt;height:7.8pt;width:9pt;z-index:251663360;mso-width-relative:page;mso-height-relative:page;" fillcolor="#FFFFFF" filled="t" stroked="t" coordsize="21600,21600" o:gfxdata="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&#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FhQ0FLXAAAACQEAAA8AAAAAAAAAAQAgAAAAIgAAAGRy&#10;cy9kb3ducmV2LnhtbFBLAQIUABQAAAAIAIdO4kAPgMOqBgIAADkEAAAOAAAAAAAAAAEAIAAAACYB&#10;AABkcnMvZTJvRG9jLnhtbFBLBQYAAAAABgAGAFkBAACeBQAAAAA=&#10;">
                      <v:fill on="t" focussize="0,0"/>
                      <v:stroke color="#000000" joinstyle="miter"/>
                      <v:imagedata o:title=""/>
                      <o:lock v:ext="edit" aspectratio="f"/>
                      <v:textbox>
                        <w:txbxContent>
                          <w:p w14:paraId="2F76BBE4"/>
                        </w:txbxContent>
                      </v:textbox>
                    </v:rect>
                  </w:pict>
                </mc:Fallback>
              </mc:AlternateContent>
            </w:r>
            <w:r>
              <w:rPr>
                <w:rFonts w:ascii="Times New Roman" w:hAnsi="Times New Roman"/>
                <w:sz w:val="18"/>
                <w:szCs w:val="18"/>
              </w:rPr>
              <mc:AlternateContent>
                <mc:Choice Requires="wps">
                  <w:drawing>
                    <wp:anchor distT="0" distB="0" distL="114300" distR="114300" simplePos="0" relativeHeight="251662336" behindDoc="0" locked="0" layoutInCell="1" allowOverlap="1">
                      <wp:simplePos x="0" y="0"/>
                      <wp:positionH relativeFrom="column">
                        <wp:posOffset>578485</wp:posOffset>
                      </wp:positionH>
                      <wp:positionV relativeFrom="paragraph">
                        <wp:posOffset>97790</wp:posOffset>
                      </wp:positionV>
                      <wp:extent cx="114300" cy="99060"/>
                      <wp:effectExtent l="4445" t="4445" r="14605" b="10795"/>
                      <wp:wrapNone/>
                      <wp:docPr id="2042600197" name="矩形 2042600197"/>
                      <wp:cNvGraphicFramePr/>
                      <a:graphic xmlns:a="http://schemas.openxmlformats.org/drawingml/2006/main">
                        <a:graphicData uri="http://schemas.microsoft.com/office/word/2010/wordprocessingShape">
                          <wps:wsp>
                            <wps:cNvSpPr/>
                            <wps:spPr>
                              <a:xfrm>
                                <a:off x="0" y="0"/>
                                <a:ext cx="114300" cy="990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A6A6204"/>
                              </w:txbxContent>
                            </wps:txbx>
                            <wps:bodyPr upright="1"/>
                          </wps:wsp>
                        </a:graphicData>
                      </a:graphic>
                    </wp:anchor>
                  </w:drawing>
                </mc:Choice>
                <mc:Fallback>
                  <w:pict>
                    <v:rect id="_x0000_s1026" o:spid="_x0000_s1026" o:spt="1" style="position:absolute;left:0pt;margin-left:45.55pt;margin-top:7.7pt;height:7.8pt;width:9pt;z-index:251662336;mso-width-relative:page;mso-height-relative:page;" fillcolor="#FFFFFF" filled="t" stroked="t" coordsize="21600,21600" o:gfxdata="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7nYYzWAAAACAEAAA8AAAAAAAAAAQAgAAAAIgAA&#10;AGRycy9kb3ducmV2LnhtbFBLAQIUABQAAAAIAIdO4kCiiZ0+CgIAADkEAAAOAAAAAAAAAAEAIAAA&#10;ACUBAABkcnMvZTJvRG9jLnhtbFBLBQYAAAAABgAGAFkBAAChBQAAAAA=&#10;">
                      <v:fill on="t" focussize="0,0"/>
                      <v:stroke color="#000000" joinstyle="miter"/>
                      <v:imagedata o:title=""/>
                      <o:lock v:ext="edit" aspectratio="f"/>
                      <v:textbox>
                        <w:txbxContent>
                          <w:p w14:paraId="5A6A6204"/>
                        </w:txbxContent>
                      </v:textbox>
                    </v:rect>
                  </w:pict>
                </mc:Fallback>
              </mc:AlternateContent>
            </w:r>
            <w:r>
              <w:rPr>
                <w:rFonts w:hint="eastAsia" w:ascii="Times New Roman" w:hAnsi="Times New Roman"/>
                <w:sz w:val="18"/>
                <w:szCs w:val="18"/>
              </w:rPr>
              <w:t>推荐         3星        4星       5星</w:t>
            </w:r>
          </w:p>
        </w:tc>
        <w:tc>
          <w:tcPr>
            <w:tcW w:w="3764" w:type="dxa"/>
            <w:gridSpan w:val="2"/>
            <w:vAlign w:val="bottom"/>
          </w:tcPr>
          <w:p w14:paraId="2C0EBCDD">
            <w:pPr>
              <w:pStyle w:val="26"/>
              <w:widowControl w:val="0"/>
              <w:adjustRightInd w:val="0"/>
              <w:snapToGrid w:val="0"/>
              <w:spacing w:before="120" w:beforeLines="50" w:line="360" w:lineRule="auto"/>
              <w:ind w:firstLine="0" w:firstLineChars="0"/>
              <w:rPr>
                <w:rFonts w:ascii="Times New Roman" w:hAnsi="Times New Roman"/>
                <w:sz w:val="18"/>
                <w:szCs w:val="18"/>
              </w:rPr>
            </w:pPr>
            <w:r>
              <w:rPr>
                <w:rFonts w:ascii="Times New Roman" w:hAnsi="Times New Roman"/>
                <w:sz w:val="18"/>
                <w:szCs w:val="18"/>
              </w:rPr>
              <mc:AlternateContent>
                <mc:Choice Requires="wps">
                  <w:drawing>
                    <wp:anchor distT="0" distB="0" distL="114300" distR="114300" simplePos="0" relativeHeight="251661312" behindDoc="0" locked="0" layoutInCell="1" allowOverlap="1">
                      <wp:simplePos x="0" y="0"/>
                      <wp:positionH relativeFrom="column">
                        <wp:posOffset>398780</wp:posOffset>
                      </wp:positionH>
                      <wp:positionV relativeFrom="paragraph">
                        <wp:posOffset>99695</wp:posOffset>
                      </wp:positionV>
                      <wp:extent cx="114300" cy="99060"/>
                      <wp:effectExtent l="4445" t="4445" r="14605" b="10795"/>
                      <wp:wrapNone/>
                      <wp:docPr id="6" name="矩形 6"/>
                      <wp:cNvGraphicFramePr/>
                      <a:graphic xmlns:a="http://schemas.openxmlformats.org/drawingml/2006/main">
                        <a:graphicData uri="http://schemas.microsoft.com/office/word/2010/wordprocessingShape">
                          <wps:wsp>
                            <wps:cNvSpPr/>
                            <wps:spPr>
                              <a:xfrm>
                                <a:off x="0" y="0"/>
                                <a:ext cx="114300" cy="990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2834526"/>
                              </w:txbxContent>
                            </wps:txbx>
                            <wps:bodyPr upright="1"/>
                          </wps:wsp>
                        </a:graphicData>
                      </a:graphic>
                    </wp:anchor>
                  </w:drawing>
                </mc:Choice>
                <mc:Fallback>
                  <w:pict>
                    <v:rect id="_x0000_s1026" o:spid="_x0000_s1026" o:spt="1" style="position:absolute;left:0pt;margin-left:31.4pt;margin-top:7.85pt;height:7.8pt;width:9pt;z-index:251661312;mso-width-relative:page;mso-height-relative:page;" fillcolor="#FFFFFF" filled="t" stroked="t" coordsize="21600,21600" o:gfxdata="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NNz6E1AAAAAcBAAAPAAAAAAAAAAEAIAAAACIAAABkcnMvZG93bnJl&#10;di54bWxQSwECFAAUAAAACACHTuJAaYMdCwECAAAnBAAADgAAAAAAAAABACAAAAAjAQAAZHJzL2Uy&#10;b0RvYy54bWxQSwUGAAAAAAYABgBZAQAAlgUAAAAA&#10;">
                      <v:fill on="t" focussize="0,0"/>
                      <v:stroke color="#000000" joinstyle="miter"/>
                      <v:imagedata o:title=""/>
                      <o:lock v:ext="edit" aspectratio="f"/>
                      <v:textbox>
                        <w:txbxContent>
                          <w:p w14:paraId="42834526"/>
                        </w:txbxContent>
                      </v:textbox>
                    </v:rect>
                  </w:pict>
                </mc:Fallback>
              </mc:AlternateContent>
            </w:r>
            <w:r>
              <w:rPr>
                <w:rFonts w:hint="eastAsia" w:ascii="Times New Roman" w:hAnsi="Times New Roman"/>
                <w:sz w:val="18"/>
                <w:szCs w:val="18"/>
              </w:rPr>
              <w:t xml:space="preserve">不推荐     </w:t>
            </w:r>
          </w:p>
        </w:tc>
      </w:tr>
      <w:tr w14:paraId="1CC36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9571" w:type="dxa"/>
            <w:gridSpan w:val="5"/>
            <w:vAlign w:val="center"/>
          </w:tcPr>
          <w:p w14:paraId="081806A4">
            <w:pPr>
              <w:pStyle w:val="26"/>
              <w:widowControl w:val="0"/>
              <w:ind w:firstLine="0" w:firstLineChars="0"/>
              <w:rPr>
                <w:rFonts w:ascii="Times New Roman" w:hAnsi="Times New Roman"/>
                <w:sz w:val="18"/>
                <w:szCs w:val="18"/>
              </w:rPr>
            </w:pPr>
            <w:r>
              <w:rPr>
                <w:rFonts w:hint="eastAsia" w:ascii="Times New Roman" w:hAnsi="Times New Roman"/>
                <w:sz w:val="18"/>
                <w:szCs w:val="18"/>
              </w:rPr>
              <w:t>组长：</w:t>
            </w:r>
          </w:p>
        </w:tc>
      </w:tr>
      <w:tr w14:paraId="01B9F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9571" w:type="dxa"/>
            <w:gridSpan w:val="5"/>
            <w:vAlign w:val="center"/>
          </w:tcPr>
          <w:p w14:paraId="0FC7DEC6">
            <w:pPr>
              <w:pStyle w:val="26"/>
              <w:widowControl w:val="0"/>
              <w:ind w:firstLine="0" w:firstLineChars="0"/>
              <w:rPr>
                <w:rFonts w:ascii="Times New Roman" w:hAnsi="Times New Roman"/>
                <w:sz w:val="18"/>
                <w:szCs w:val="18"/>
              </w:rPr>
            </w:pPr>
            <w:r>
              <w:rPr>
                <w:rFonts w:hint="eastAsia" w:ascii="Times New Roman" w:hAnsi="Times New Roman"/>
                <w:sz w:val="18"/>
                <w:szCs w:val="18"/>
              </w:rPr>
              <w:t>组员：</w:t>
            </w:r>
          </w:p>
        </w:tc>
      </w:tr>
    </w:tbl>
    <w:p w14:paraId="57296711">
      <w:pPr>
        <w:pStyle w:val="14"/>
        <w:ind w:firstLine="420"/>
      </w:pPr>
    </w:p>
    <w:bookmarkEnd w:id="65"/>
    <w:p w14:paraId="6A63D5E3">
      <w:pPr>
        <w:pStyle w:val="14"/>
        <w:ind w:firstLine="420"/>
        <w:sectPr>
          <w:pgSz w:w="11906" w:h="16838"/>
          <w:pgMar w:top="1928" w:right="1134" w:bottom="1134" w:left="1134" w:header="1418" w:footer="1134" w:gutter="284"/>
          <w:cols w:space="425" w:num="1"/>
          <w:formProt w:val="0"/>
          <w:docGrid w:linePitch="312" w:charSpace="0"/>
        </w:sectPr>
      </w:pPr>
      <w:bookmarkStart w:id="72" w:name="BookMark6"/>
    </w:p>
    <w:p w14:paraId="131146BA">
      <w:pPr>
        <w:pStyle w:val="32"/>
        <w:spacing w:after="120"/>
      </w:pPr>
      <w:bookmarkStart w:id="73" w:name="_Toc228868575"/>
      <w:r>
        <w:rPr>
          <w:rFonts w:hint="eastAsia"/>
          <w:spacing w:val="105"/>
        </w:rPr>
        <w:t>参考文</w:t>
      </w:r>
      <w:r>
        <w:rPr>
          <w:rFonts w:hint="eastAsia"/>
        </w:rPr>
        <w:t>献</w:t>
      </w:r>
      <w:bookmarkEnd w:id="73"/>
    </w:p>
    <w:p w14:paraId="18D2F835">
      <w:pPr>
        <w:pStyle w:val="14"/>
        <w:ind w:firstLine="420"/>
      </w:pPr>
    </w:p>
    <w:p w14:paraId="7088CA4A">
      <w:pPr>
        <w:pStyle w:val="14"/>
        <w:ind w:firstLine="420"/>
      </w:pPr>
      <w:bookmarkStart w:id="74" w:name="_Hlk109034817"/>
      <w:r>
        <w:t>[1</w:t>
      </w:r>
      <w:r>
        <w:rPr>
          <w:rFonts w:hAnsi="宋体"/>
        </w:rPr>
        <w:t>]</w:t>
      </w:r>
      <w:bookmarkEnd w:id="74"/>
      <w:r>
        <w:rPr>
          <w:rFonts w:hAnsi="宋体"/>
        </w:rPr>
        <w:t xml:space="preserve"> 中华人民共和国国家质量监督检验检疫总局</w:t>
      </w:r>
      <w:r>
        <w:t>《</w:t>
      </w:r>
      <w:r>
        <w:rPr>
          <w:rFonts w:hint="eastAsia"/>
        </w:rPr>
        <w:t>旅游区(点)质量等级的划分与评定》（GB/T 17775—2003），2</w:t>
      </w:r>
      <w:r>
        <w:t>005年</w:t>
      </w:r>
      <w:r>
        <w:rPr>
          <w:rFonts w:hint="eastAsia"/>
        </w:rPr>
        <w:t>1月1日</w:t>
      </w:r>
    </w:p>
    <w:p w14:paraId="4AC56C32">
      <w:pPr>
        <w:pStyle w:val="14"/>
        <w:ind w:firstLine="420"/>
      </w:pPr>
      <w:r>
        <w:rPr>
          <w:rFonts w:hAnsi="宋体"/>
        </w:rPr>
        <w:t>[2]</w:t>
      </w:r>
      <w:r>
        <w:rPr>
          <w:rFonts w:hint="eastAsia" w:hAnsi="宋体"/>
        </w:rPr>
        <w:t xml:space="preserve"> 中华人民共和国国家标准化管理委员会</w:t>
      </w:r>
      <w:r>
        <w:t>《</w:t>
      </w:r>
      <w:r>
        <w:rPr>
          <w:rFonts w:hint="eastAsia"/>
        </w:rPr>
        <w:t>美丽乡村建设评价》（GB/T 37072—2018</w:t>
      </w:r>
      <w:r>
        <w:t xml:space="preserve"> ），</w:t>
      </w:r>
      <w:r>
        <w:rPr>
          <w:rFonts w:hint="eastAsia"/>
        </w:rPr>
        <w:t>2</w:t>
      </w:r>
      <w:r>
        <w:t>018年</w:t>
      </w:r>
      <w:r>
        <w:rPr>
          <w:rFonts w:hint="eastAsia"/>
        </w:rPr>
        <w:t>1</w:t>
      </w:r>
      <w:r>
        <w:t>2月</w:t>
      </w:r>
      <w:r>
        <w:rPr>
          <w:rFonts w:hint="eastAsia"/>
        </w:rPr>
        <w:t>2</w:t>
      </w:r>
      <w:r>
        <w:t>8日</w:t>
      </w:r>
    </w:p>
    <w:p w14:paraId="036397D4">
      <w:pPr>
        <w:pStyle w:val="14"/>
        <w:ind w:firstLine="420"/>
        <w:rPr>
          <w:rFonts w:hint="eastAsia" w:hAnsi="宋体"/>
        </w:rPr>
      </w:pPr>
      <w:r>
        <w:rPr>
          <w:rFonts w:hAnsi="宋体"/>
        </w:rPr>
        <w:t xml:space="preserve">[3] </w:t>
      </w:r>
      <w:r>
        <w:rPr>
          <w:rFonts w:hint="eastAsia" w:hAnsi="宋体"/>
        </w:rPr>
        <w:t>国际标准化组织品牌评价技术委员会</w:t>
      </w:r>
      <w:r>
        <w:rPr>
          <w:rFonts w:hint="eastAsia" w:hAnsi="宋体"/>
          <w:color w:val="000000"/>
          <w:szCs w:val="21"/>
        </w:rPr>
        <w:t>《</w:t>
      </w:r>
      <w:r>
        <w:rPr>
          <w:rFonts w:hAnsi="宋体"/>
          <w:color w:val="000000"/>
          <w:szCs w:val="21"/>
        </w:rPr>
        <w:t>Brand evaluation — Principles and fundamentals</w:t>
      </w:r>
      <w:r>
        <w:rPr>
          <w:rFonts w:hint="eastAsia" w:hAnsi="宋体"/>
          <w:color w:val="000000"/>
          <w:szCs w:val="21"/>
        </w:rPr>
        <w:t>》</w:t>
      </w:r>
      <w:r>
        <w:rPr>
          <w:rFonts w:hAnsi="宋体"/>
          <w:color w:val="000000"/>
          <w:szCs w:val="21"/>
        </w:rPr>
        <w:t>（</w:t>
      </w:r>
      <w:r>
        <w:rPr>
          <w:rFonts w:hint="eastAsia" w:hAnsi="宋体"/>
          <w:color w:val="000000"/>
          <w:szCs w:val="21"/>
        </w:rPr>
        <w:t>ISO 20671—2019）</w:t>
      </w:r>
    </w:p>
    <w:p w14:paraId="1EC4500C">
      <w:pPr>
        <w:pStyle w:val="14"/>
        <w:ind w:firstLine="420"/>
        <w:rPr>
          <w:rFonts w:hint="eastAsia" w:hAnsi="宋体"/>
        </w:rPr>
      </w:pPr>
      <w:r>
        <w:rPr>
          <w:rFonts w:hAnsi="宋体"/>
        </w:rPr>
        <w:t>[</w:t>
      </w:r>
      <w:r>
        <w:rPr>
          <w:rFonts w:hint="eastAsia" w:hAnsi="宋体"/>
        </w:rPr>
        <w:t>4</w:t>
      </w:r>
      <w:r>
        <w:rPr>
          <w:rFonts w:hAnsi="宋体"/>
        </w:rPr>
        <w:t xml:space="preserve">] </w:t>
      </w:r>
      <w:r>
        <w:rPr>
          <w:rFonts w:hint="eastAsia" w:hAnsi="宋体"/>
          <w:color w:val="000000"/>
          <w:szCs w:val="21"/>
        </w:rPr>
        <w:t>中华人民共和国乡村振兴促进法(中华人民共和国主席令第77号)，2</w:t>
      </w:r>
      <w:r>
        <w:rPr>
          <w:rFonts w:hAnsi="宋体"/>
          <w:color w:val="000000"/>
          <w:szCs w:val="21"/>
        </w:rPr>
        <w:t>021年</w:t>
      </w:r>
      <w:r>
        <w:rPr>
          <w:rFonts w:hint="eastAsia" w:hAnsi="宋体"/>
          <w:color w:val="000000"/>
          <w:szCs w:val="21"/>
        </w:rPr>
        <w:t>6月1日 </w:t>
      </w:r>
      <w:r>
        <w:rPr>
          <w:rFonts w:hAnsi="宋体"/>
          <w:color w:val="000000"/>
          <w:szCs w:val="21"/>
        </w:rPr>
        <w:t xml:space="preserve"> </w:t>
      </w:r>
    </w:p>
    <w:p w14:paraId="6C3FA064">
      <w:pPr>
        <w:pStyle w:val="14"/>
        <w:ind w:firstLine="420"/>
        <w:rPr>
          <w:rFonts w:hint="eastAsia" w:hAnsi="宋体"/>
          <w:color w:val="000000"/>
          <w:szCs w:val="21"/>
        </w:rPr>
      </w:pPr>
      <w:r>
        <w:rPr>
          <w:rFonts w:hAnsi="宋体"/>
        </w:rPr>
        <w:t>[</w:t>
      </w:r>
      <w:r>
        <w:rPr>
          <w:rFonts w:hint="eastAsia" w:hAnsi="宋体"/>
        </w:rPr>
        <w:t>5</w:t>
      </w:r>
      <w:r>
        <w:rPr>
          <w:rFonts w:hAnsi="宋体"/>
        </w:rPr>
        <w:t xml:space="preserve">] </w:t>
      </w:r>
      <w:r>
        <w:rPr>
          <w:rFonts w:hint="eastAsia" w:hAnsi="宋体"/>
          <w:color w:val="000000"/>
          <w:szCs w:val="21"/>
        </w:rPr>
        <w:t>中华人民共和国城乡规划法（2021年修订）</w:t>
      </w:r>
    </w:p>
    <w:p w14:paraId="5FF919D5">
      <w:pPr>
        <w:pStyle w:val="14"/>
        <w:ind w:firstLine="420"/>
        <w:rPr>
          <w:rFonts w:hint="eastAsia" w:hAnsi="宋体"/>
          <w:color w:val="000000"/>
          <w:szCs w:val="21"/>
        </w:rPr>
      </w:pPr>
      <w:r>
        <w:rPr>
          <w:rFonts w:hAnsi="宋体"/>
        </w:rPr>
        <w:t xml:space="preserve">[6] </w:t>
      </w:r>
      <w:r>
        <w:rPr>
          <w:rFonts w:hint="eastAsia" w:hAnsi="宋体"/>
        </w:rPr>
        <w:t>中共中央 国务院关于进一步深化农村改革 扎实推进乡村全面振兴的意见</w:t>
      </w:r>
    </w:p>
    <w:p w14:paraId="7260E3CE">
      <w:pPr>
        <w:pStyle w:val="14"/>
        <w:ind w:firstLine="420"/>
        <w:rPr>
          <w:rFonts w:hint="eastAsia" w:hAnsi="宋体"/>
        </w:rPr>
      </w:pPr>
      <w:r>
        <w:rPr>
          <w:rFonts w:hAnsi="宋体"/>
        </w:rPr>
        <w:t xml:space="preserve">[7] </w:t>
      </w:r>
      <w:r>
        <w:rPr>
          <w:rFonts w:hint="eastAsia" w:hAnsi="宋体"/>
        </w:rPr>
        <w:t>中共中央 国务院关于锚定农业农村现代化 扎实推进乡村全面振兴的意见</w:t>
      </w:r>
    </w:p>
    <w:p w14:paraId="0A105777">
      <w:pPr>
        <w:pStyle w:val="14"/>
        <w:ind w:firstLine="420"/>
        <w:rPr>
          <w:rFonts w:hint="eastAsia" w:hAnsi="宋体"/>
          <w:color w:val="000000"/>
          <w:szCs w:val="21"/>
        </w:rPr>
      </w:pPr>
      <w:r>
        <w:rPr>
          <w:rFonts w:hAnsi="宋体"/>
        </w:rPr>
        <w:t>[</w:t>
      </w:r>
      <w:r>
        <w:rPr>
          <w:rFonts w:hint="eastAsia" w:hAnsi="宋体"/>
        </w:rPr>
        <w:t>8</w:t>
      </w:r>
      <w:r>
        <w:rPr>
          <w:rFonts w:hAnsi="宋体"/>
        </w:rPr>
        <w:t xml:space="preserve">] </w:t>
      </w:r>
      <w:r>
        <w:rPr>
          <w:rFonts w:hAnsi="宋体"/>
          <w:color w:val="000000"/>
          <w:szCs w:val="21"/>
        </w:rPr>
        <w:t>中共中央</w:t>
      </w:r>
      <w:r>
        <w:rPr>
          <w:rFonts w:hint="eastAsia" w:hAnsi="宋体"/>
          <w:color w:val="000000"/>
          <w:szCs w:val="21"/>
        </w:rPr>
        <w:t xml:space="preserve"> </w:t>
      </w:r>
      <w:r>
        <w:rPr>
          <w:rFonts w:hAnsi="宋体"/>
          <w:color w:val="000000"/>
          <w:szCs w:val="21"/>
        </w:rPr>
        <w:t>国务院关于实现巩固拓展脱贫攻坚成果同乡村振兴有效衔接的意见</w:t>
      </w:r>
    </w:p>
    <w:p w14:paraId="2FF82D00">
      <w:pPr>
        <w:pStyle w:val="14"/>
        <w:ind w:firstLine="420"/>
        <w:rPr>
          <w:rFonts w:hint="eastAsia" w:hAnsi="宋体"/>
          <w:color w:val="C00000"/>
          <w:szCs w:val="21"/>
        </w:rPr>
      </w:pPr>
      <w:r>
        <w:rPr>
          <w:rFonts w:hAnsi="宋体"/>
        </w:rPr>
        <w:t xml:space="preserve">[9] </w:t>
      </w:r>
      <w:r>
        <w:rPr>
          <w:rFonts w:hint="eastAsia" w:hAnsi="宋体"/>
          <w:color w:val="000000" w:themeColor="text1"/>
          <w:szCs w:val="21"/>
          <w14:textFill>
            <w14:solidFill>
              <w14:schemeClr w14:val="tx1"/>
            </w14:solidFill>
          </w14:textFill>
        </w:rPr>
        <w:t>中共中央 国务院关于全面推进乡村振兴加快农业农村现代化的意见</w:t>
      </w:r>
    </w:p>
    <w:p w14:paraId="5EE31863">
      <w:pPr>
        <w:pStyle w:val="14"/>
        <w:ind w:firstLine="420"/>
        <w:rPr>
          <w:rFonts w:hint="eastAsia" w:hAnsi="宋体"/>
          <w:color w:val="000000" w:themeColor="text1"/>
          <w:szCs w:val="21"/>
          <w14:textFill>
            <w14:solidFill>
              <w14:schemeClr w14:val="tx1"/>
            </w14:solidFill>
          </w14:textFill>
        </w:rPr>
      </w:pPr>
      <w:r>
        <w:rPr>
          <w:rFonts w:hAnsi="宋体"/>
        </w:rPr>
        <w:t>[1</w:t>
      </w:r>
      <w:r>
        <w:rPr>
          <w:rFonts w:hint="eastAsia" w:hAnsi="宋体"/>
        </w:rPr>
        <w:t>0</w:t>
      </w:r>
      <w:r>
        <w:rPr>
          <w:rFonts w:hAnsi="宋体"/>
        </w:rPr>
        <w:t xml:space="preserve">] </w:t>
      </w:r>
      <w:r>
        <w:rPr>
          <w:rFonts w:hint="eastAsia" w:hAnsi="宋体"/>
          <w:color w:val="000000" w:themeColor="text1"/>
          <w:szCs w:val="21"/>
          <w14:textFill>
            <w14:solidFill>
              <w14:schemeClr w14:val="tx1"/>
            </w14:solidFill>
          </w14:textFill>
        </w:rPr>
        <w:t>中共中央办公厅 国务院办公厅</w:t>
      </w:r>
      <w:r>
        <w:rPr>
          <w:rFonts w:ascii="Helvetica" w:hAnsi="Helvetica" w:eastAsia="Helvetica" w:cs="Helvetica"/>
          <w:color w:val="000000" w:themeColor="text1"/>
          <w:szCs w:val="21"/>
          <w:shd w:val="clear" w:color="auto" w:fill="FFFFFF"/>
          <w14:textFill>
            <w14:solidFill>
              <w14:schemeClr w14:val="tx1"/>
            </w14:solidFill>
          </w14:textFill>
        </w:rPr>
        <w:t>数字乡村发展战略纲要</w:t>
      </w:r>
    </w:p>
    <w:p w14:paraId="492B816E">
      <w:pPr>
        <w:pStyle w:val="14"/>
        <w:ind w:firstLine="420"/>
        <w:rPr>
          <w:rFonts w:hint="eastAsia" w:hAnsi="宋体"/>
          <w:color w:val="000000"/>
          <w:szCs w:val="21"/>
        </w:rPr>
      </w:pPr>
      <w:r>
        <w:rPr>
          <w:rFonts w:hAnsi="宋体"/>
        </w:rPr>
        <w:t>[1</w:t>
      </w:r>
      <w:r>
        <w:rPr>
          <w:rFonts w:hint="eastAsia" w:hAnsi="宋体"/>
        </w:rPr>
        <w:t>1</w:t>
      </w:r>
      <w:r>
        <w:rPr>
          <w:rFonts w:hAnsi="宋体"/>
        </w:rPr>
        <w:t xml:space="preserve">] </w:t>
      </w:r>
      <w:r>
        <w:rPr>
          <w:rFonts w:hAnsi="宋体"/>
          <w:color w:val="000000"/>
          <w:szCs w:val="21"/>
        </w:rPr>
        <w:t>关于推动文化产业赋能乡村振兴的意见（文旅产业发〔2022〕33号）</w:t>
      </w:r>
    </w:p>
    <w:p w14:paraId="3809D70C">
      <w:pPr>
        <w:pStyle w:val="14"/>
        <w:ind w:firstLine="420"/>
        <w:rPr>
          <w:rFonts w:hint="eastAsia" w:hAnsi="宋体"/>
          <w:color w:val="000000"/>
          <w:szCs w:val="21"/>
        </w:rPr>
      </w:pPr>
      <w:r>
        <w:rPr>
          <w:rFonts w:hAnsi="宋体"/>
        </w:rPr>
        <w:t>[1</w:t>
      </w:r>
      <w:r>
        <w:rPr>
          <w:rFonts w:hint="eastAsia" w:hAnsi="宋体"/>
        </w:rPr>
        <w:t>2</w:t>
      </w:r>
      <w:r>
        <w:rPr>
          <w:rFonts w:hAnsi="宋体"/>
        </w:rPr>
        <w:t xml:space="preserve">] </w:t>
      </w:r>
      <w:r>
        <w:rPr>
          <w:rFonts w:hAnsi="宋体"/>
          <w:color w:val="000000"/>
          <w:szCs w:val="21"/>
        </w:rPr>
        <w:t>农业农村部 中央网络安全和信息化委员会办公室关于印发数字农业农村发展规划（2019</w:t>
      </w:r>
      <w:r>
        <w:rPr>
          <w:rFonts w:hint="eastAsia" w:hAnsi="宋体"/>
          <w:color w:val="000000"/>
          <w:szCs w:val="21"/>
        </w:rPr>
        <w:t>—</w:t>
      </w:r>
      <w:r>
        <w:rPr>
          <w:rFonts w:hAnsi="宋体"/>
          <w:color w:val="000000"/>
          <w:szCs w:val="21"/>
        </w:rPr>
        <w:t>2025年）的通知（农规发〔2019〕33号）</w:t>
      </w:r>
    </w:p>
    <w:p w14:paraId="4BDC57F8">
      <w:pPr>
        <w:pStyle w:val="14"/>
        <w:ind w:firstLine="420"/>
        <w:rPr>
          <w:rFonts w:hint="eastAsia" w:hAnsi="宋体"/>
          <w:color w:val="000000"/>
          <w:szCs w:val="21"/>
        </w:rPr>
      </w:pPr>
      <w:r>
        <w:rPr>
          <w:rFonts w:hAnsi="宋体"/>
          <w:color w:val="000000"/>
          <w:szCs w:val="21"/>
        </w:rPr>
        <w:t>[1</w:t>
      </w:r>
      <w:r>
        <w:rPr>
          <w:rFonts w:hint="eastAsia" w:hAnsi="宋体"/>
          <w:color w:val="000000"/>
          <w:szCs w:val="21"/>
        </w:rPr>
        <w:t>3</w:t>
      </w:r>
      <w:r>
        <w:rPr>
          <w:rFonts w:hAnsi="宋体"/>
          <w:color w:val="000000"/>
          <w:szCs w:val="21"/>
        </w:rPr>
        <w:t>] 关于坚持和深化新时代“千万工程”打造乡村全面振兴浙江样板2024年工作要点</w:t>
      </w:r>
      <w:r>
        <w:rPr>
          <w:rFonts w:hint="eastAsia" w:hAnsi="宋体"/>
          <w:color w:val="000000"/>
          <w:szCs w:val="21"/>
        </w:rPr>
        <w:t>（</w:t>
      </w:r>
      <w:r>
        <w:rPr>
          <w:rFonts w:hAnsi="宋体"/>
          <w:color w:val="000000"/>
          <w:szCs w:val="21"/>
        </w:rPr>
        <w:t>浙委发〔2024〕1号</w:t>
      </w:r>
      <w:r>
        <w:rPr>
          <w:rFonts w:hint="eastAsia" w:hAnsi="宋体"/>
          <w:color w:val="000000"/>
          <w:szCs w:val="21"/>
        </w:rPr>
        <w:t>）</w:t>
      </w:r>
    </w:p>
    <w:p w14:paraId="5F27A813">
      <w:pPr>
        <w:pStyle w:val="14"/>
        <w:ind w:firstLine="420"/>
        <w:rPr>
          <w:rFonts w:hint="eastAsia" w:hAnsi="宋体"/>
          <w:color w:val="000000"/>
          <w:szCs w:val="21"/>
        </w:rPr>
      </w:pPr>
      <w:r>
        <w:rPr>
          <w:rFonts w:hAnsi="宋体"/>
          <w:color w:val="000000"/>
          <w:szCs w:val="21"/>
        </w:rPr>
        <w:t>[1</w:t>
      </w:r>
      <w:r>
        <w:rPr>
          <w:rFonts w:hint="eastAsia" w:hAnsi="宋体"/>
          <w:color w:val="000000"/>
          <w:szCs w:val="21"/>
        </w:rPr>
        <w:t>4</w:t>
      </w:r>
      <w:r>
        <w:rPr>
          <w:rFonts w:hAnsi="宋体"/>
          <w:color w:val="000000"/>
          <w:szCs w:val="21"/>
        </w:rPr>
        <w:t>]</w:t>
      </w:r>
      <w:r>
        <w:rPr>
          <w:rFonts w:hint="eastAsia" w:hAnsi="宋体"/>
          <w:color w:val="000000"/>
          <w:szCs w:val="21"/>
        </w:rPr>
        <w:t xml:space="preserve"> 浙江省乡村振兴促进条例（浙江省第十三届人民代表大会常务委员会公告第51号）</w:t>
      </w:r>
    </w:p>
    <w:p w14:paraId="0F67B8B9">
      <w:pPr>
        <w:pStyle w:val="14"/>
        <w:ind w:firstLine="420"/>
        <w:rPr>
          <w:rFonts w:hint="eastAsia" w:hAnsi="宋体"/>
          <w:color w:val="000000"/>
          <w:szCs w:val="21"/>
        </w:rPr>
      </w:pPr>
      <w:r>
        <w:rPr>
          <w:rFonts w:hAnsi="宋体"/>
        </w:rPr>
        <w:t>[1</w:t>
      </w:r>
      <w:r>
        <w:rPr>
          <w:rFonts w:hint="eastAsia" w:hAnsi="宋体"/>
        </w:rPr>
        <w:t>5</w:t>
      </w:r>
      <w:r>
        <w:rPr>
          <w:rFonts w:hAnsi="宋体"/>
        </w:rPr>
        <w:t>]</w:t>
      </w:r>
      <w:r>
        <w:rPr>
          <w:rFonts w:hAnsi="宋体"/>
          <w:color w:val="000000"/>
          <w:szCs w:val="21"/>
        </w:rPr>
        <w:t xml:space="preserve"> </w:t>
      </w:r>
      <w:r>
        <w:rPr>
          <w:rFonts w:hint="eastAsia" w:hAnsi="宋体"/>
          <w:color w:val="000000"/>
          <w:szCs w:val="21"/>
        </w:rPr>
        <w:t>中央网络安全与信息化委员会</w:t>
      </w:r>
      <w:r>
        <w:rPr>
          <w:rFonts w:hAnsi="宋体"/>
          <w:color w:val="000000"/>
          <w:szCs w:val="21"/>
        </w:rPr>
        <w:t>“十四五”国家信息化规划</w:t>
      </w:r>
    </w:p>
    <w:p w14:paraId="19264031">
      <w:pPr>
        <w:pStyle w:val="14"/>
        <w:ind w:firstLine="420"/>
        <w:rPr>
          <w:rFonts w:hint="eastAsia" w:hAnsi="宋体"/>
          <w:color w:val="000000"/>
          <w:szCs w:val="21"/>
        </w:rPr>
      </w:pPr>
      <w:r>
        <w:rPr>
          <w:rFonts w:hAnsi="宋体"/>
        </w:rPr>
        <w:t>[1</w:t>
      </w:r>
      <w:r>
        <w:rPr>
          <w:rFonts w:hint="eastAsia" w:hAnsi="宋体"/>
        </w:rPr>
        <w:t>6</w:t>
      </w:r>
      <w:r>
        <w:rPr>
          <w:rFonts w:hAnsi="宋体"/>
        </w:rPr>
        <w:t xml:space="preserve">] </w:t>
      </w:r>
      <w:r>
        <w:rPr>
          <w:rFonts w:hint="eastAsia" w:hAnsi="宋体"/>
        </w:rPr>
        <w:t>中央网信办 农业农村部等十部委</w:t>
      </w:r>
      <w:r>
        <w:rPr>
          <w:rFonts w:hAnsi="宋体"/>
          <w:color w:val="000000"/>
          <w:szCs w:val="21"/>
        </w:rPr>
        <w:t>数字乡村发展行动计划（2022</w:t>
      </w:r>
      <w:r>
        <w:rPr>
          <w:rFonts w:hint="eastAsia" w:hAnsi="宋体"/>
          <w:color w:val="000000"/>
          <w:szCs w:val="21"/>
        </w:rPr>
        <w:t>—</w:t>
      </w:r>
      <w:r>
        <w:rPr>
          <w:rFonts w:hAnsi="宋体"/>
          <w:color w:val="000000"/>
          <w:szCs w:val="21"/>
        </w:rPr>
        <w:t>2025年）</w:t>
      </w:r>
    </w:p>
    <w:p w14:paraId="6E7590AE">
      <w:pPr>
        <w:pStyle w:val="14"/>
        <w:ind w:firstLine="420"/>
        <w:rPr>
          <w:rFonts w:hint="eastAsia" w:hAnsi="宋体"/>
          <w:color w:val="000000"/>
          <w:szCs w:val="21"/>
        </w:rPr>
      </w:pPr>
      <w:r>
        <w:rPr>
          <w:rFonts w:hAnsi="宋体"/>
          <w:color w:val="000000"/>
          <w:szCs w:val="21"/>
        </w:rPr>
        <w:t>[1</w:t>
      </w:r>
      <w:r>
        <w:rPr>
          <w:rFonts w:hint="eastAsia" w:hAnsi="宋体"/>
          <w:color w:val="000000"/>
          <w:szCs w:val="21"/>
        </w:rPr>
        <w:t>7</w:t>
      </w:r>
      <w:r>
        <w:rPr>
          <w:rFonts w:hAnsi="宋体"/>
          <w:color w:val="000000"/>
          <w:szCs w:val="21"/>
        </w:rPr>
        <w:t>] 关于推进乡村片区组团发展的指导意见</w:t>
      </w:r>
      <w:r>
        <w:rPr>
          <w:rFonts w:hint="eastAsia" w:hAnsi="宋体"/>
          <w:color w:val="000000"/>
          <w:szCs w:val="21"/>
        </w:rPr>
        <w:t>（</w:t>
      </w:r>
      <w:r>
        <w:rPr>
          <w:rFonts w:hAnsi="宋体"/>
          <w:color w:val="000000"/>
          <w:szCs w:val="21"/>
        </w:rPr>
        <w:t>中共浙江省委农村工作领导小组办公室</w:t>
      </w:r>
      <w:r>
        <w:rPr>
          <w:rFonts w:hint="eastAsia" w:hAnsi="宋体"/>
          <w:color w:val="000000"/>
          <w:szCs w:val="21"/>
        </w:rPr>
        <w:t>等部门联合发布，2025年</w:t>
      </w:r>
      <w:r>
        <w:rPr>
          <w:rFonts w:hint="eastAsia" w:hAnsi="宋体"/>
        </w:rPr>
        <w:t>）</w:t>
      </w:r>
    </w:p>
    <w:p w14:paraId="1BF4E374">
      <w:pPr>
        <w:pStyle w:val="14"/>
        <w:ind w:firstLine="420"/>
        <w:rPr>
          <w:rFonts w:hint="eastAsia" w:hAnsi="宋体"/>
        </w:rPr>
      </w:pPr>
      <w:r>
        <w:rPr>
          <w:rFonts w:hAnsi="宋体"/>
        </w:rPr>
        <w:t>[</w:t>
      </w:r>
      <w:r>
        <w:rPr>
          <w:rFonts w:hint="eastAsia" w:hAnsi="宋体"/>
        </w:rPr>
        <w:t>18</w:t>
      </w:r>
      <w:r>
        <w:rPr>
          <w:rFonts w:hAnsi="宋体"/>
        </w:rPr>
        <w:t>]</w:t>
      </w:r>
      <w:r>
        <w:rPr>
          <w:rFonts w:hint="eastAsia" w:hAnsi="宋体"/>
        </w:rPr>
        <w:t xml:space="preserve"> 关于2026年深化以“千万工程”牵引城乡融合发展缩小“三大差距”推进共同富裕先行示范的工作方案（浙江省委发布，2025年）</w:t>
      </w:r>
    </w:p>
    <w:p w14:paraId="26A5DBD7">
      <w:pPr>
        <w:pStyle w:val="14"/>
        <w:ind w:firstLine="420"/>
        <w:rPr>
          <w:rFonts w:hint="eastAsia" w:hAnsi="宋体"/>
        </w:rPr>
      </w:pPr>
      <w:r>
        <w:rPr>
          <w:rFonts w:hAnsi="宋体"/>
        </w:rPr>
        <w:t>[</w:t>
      </w:r>
      <w:r>
        <w:rPr>
          <w:rFonts w:hint="eastAsia" w:hAnsi="宋体"/>
        </w:rPr>
        <w:t>19</w:t>
      </w:r>
      <w:r>
        <w:rPr>
          <w:rFonts w:hAnsi="宋体"/>
        </w:rPr>
        <w:t>]</w:t>
      </w:r>
      <w:r>
        <w:rPr>
          <w:rFonts w:hint="eastAsia" w:hAnsi="宋体"/>
        </w:rPr>
        <w:t xml:space="preserve"> 胡晓云,余耀锋.“品牌新农村”的评价及其决定要素[J].浙江大学学报(人文社会科学版),2013,43(04):28-38。</w:t>
      </w:r>
    </w:p>
    <w:p w14:paraId="71F3E5C3">
      <w:pPr>
        <w:pStyle w:val="14"/>
        <w:ind w:firstLine="420"/>
        <w:rPr>
          <w:rFonts w:hint="eastAsia" w:hAnsi="宋体"/>
        </w:rPr>
      </w:pPr>
      <w:r>
        <w:rPr>
          <w:rFonts w:hAnsi="宋体"/>
        </w:rPr>
        <w:t>[</w:t>
      </w:r>
      <w:r>
        <w:rPr>
          <w:rFonts w:hint="eastAsia" w:hAnsi="宋体"/>
        </w:rPr>
        <w:t>20</w:t>
      </w:r>
      <w:r>
        <w:rPr>
          <w:rFonts w:hAnsi="宋体"/>
        </w:rPr>
        <w:t>]</w:t>
      </w:r>
      <w:r>
        <w:rPr>
          <w:rFonts w:hint="eastAsia" w:hAnsi="宋体"/>
        </w:rPr>
        <w:t xml:space="preserve"> 乡村片区组团发展指南（</w:t>
      </w:r>
      <w:r>
        <w:rPr>
          <w:rFonts w:hAnsi="宋体"/>
        </w:rPr>
        <w:t>T/ZJXJH 0004-2025</w:t>
      </w:r>
      <w:r>
        <w:rPr>
          <w:rFonts w:hint="eastAsia" w:hAnsi="宋体"/>
        </w:rPr>
        <w:t>，浙江省乡村建设促进会发布）</w:t>
      </w:r>
    </w:p>
    <w:bookmarkEnd w:id="72"/>
    <w:p w14:paraId="2DA1BF20">
      <w:pPr>
        <w:ind w:right="141" w:rightChars="67"/>
        <w:jc w:val="both"/>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20B0604020202020204"/>
    <w:charset w:val="00"/>
    <w:family w:val="auto"/>
    <w:pitch w:val="default"/>
    <w:sig w:usb0="00000000" w:usb1="00000000" w:usb2="00000000" w:usb3="00000000" w:csb0="0000019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KSOF7FC4CF2A">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B8449">
    <w:pPr>
      <w:pStyle w:val="34"/>
    </w:pPr>
    <w:r>
      <w:fldChar w:fldCharType="begin"/>
    </w:r>
    <w:r>
      <w:instrText xml:space="preserve">PAGE   \* MERGEFORMAT</w:instrText>
    </w:r>
    <w:r>
      <w:fldChar w:fldCharType="separate"/>
    </w:r>
    <w:r>
      <w:rPr>
        <w:lang w:val="zh-CN"/>
      </w:rPr>
      <w:t>10</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CDCBC4">
    <w:pPr>
      <w:pStyle w:val="33"/>
      <w:ind w:right="315"/>
      <w:rPr>
        <w:rFonts w:hint="eastAsia"/>
      </w:rPr>
    </w:pPr>
    <w:bookmarkStart w:id="75" w:name="_Hlk26473981"/>
    <w:bookmarkEnd w:id="7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7030FF">
    <w:pPr>
      <w:pStyle w:val="3"/>
      <w:jc w:val="right"/>
    </w:pPr>
    <w:r>
      <w:fldChar w:fldCharType="begin"/>
    </w:r>
    <w:r>
      <w:instrText xml:space="preserve"> STYLEREF  标准文件_文件编号  \* MERGEFORMAT </w:instrText>
    </w:r>
    <w:r>
      <w:fldChar w:fldCharType="separate"/>
    </w:r>
    <w:r>
      <w:rPr>
        <w:b/>
      </w:rPr>
      <w:t>错误！未定义样式。</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ED3FEA"/>
    <w:multiLevelType w:val="multilevel"/>
    <w:tmpl w:val="07ED3FEA"/>
    <w:lvl w:ilvl="0" w:tentative="0">
      <w:start w:val="1"/>
      <w:numFmt w:val="none"/>
      <w:pStyle w:val="13"/>
      <w:lvlText w:val="%1"/>
      <w:lvlJc w:val="left"/>
      <w:pPr>
        <w:ind w:left="425" w:hanging="425"/>
      </w:pPr>
      <w:rPr>
        <w:rFonts w:hint="eastAsia"/>
      </w:rPr>
    </w:lvl>
    <w:lvl w:ilvl="1" w:tentative="0">
      <w:start w:val="1"/>
      <w:numFmt w:val="decimal"/>
      <w:suff w:val="nothing"/>
      <w:lvlText w:val="%10.%2 "/>
      <w:lvlJc w:val="left"/>
      <w:pPr>
        <w:ind w:left="0" w:firstLine="0"/>
      </w:pPr>
      <w:rPr>
        <w:rFonts w:hint="eastAsia" w:ascii="黑体" w:eastAsia="黑体" w:hAnsiTheme="minorHAnsi"/>
        <w:b w:val="0"/>
        <w:i w:val="0"/>
        <w:sz w:val="21"/>
      </w:rPr>
    </w:lvl>
    <w:lvl w:ilvl="2" w:tentative="0">
      <w:start w:val="1"/>
      <w:numFmt w:val="decimal"/>
      <w:suff w:val="nothing"/>
      <w:lvlText w:val="%10.%2.%3 "/>
      <w:lvlJc w:val="left"/>
      <w:pPr>
        <w:ind w:left="0" w:firstLine="0"/>
      </w:pPr>
      <w:rPr>
        <w:rFonts w:hint="eastAsia" w:ascii="黑体" w:eastAsia="黑体" w:hAnsiTheme="minorHAnsi"/>
        <w:b w:val="0"/>
        <w:i w:val="0"/>
        <w:sz w:val="21"/>
      </w:rPr>
    </w:lvl>
    <w:lvl w:ilvl="3" w:tentative="0">
      <w:start w:val="1"/>
      <w:numFmt w:val="decimal"/>
      <w:suff w:val="nothing"/>
      <w:lvlText w:val="%10.%2.%3.%4 "/>
      <w:lvlJc w:val="left"/>
      <w:pPr>
        <w:ind w:left="0" w:firstLine="0"/>
      </w:pPr>
      <w:rPr>
        <w:rFonts w:hint="eastAsia" w:ascii="黑体" w:eastAsia="黑体" w:hAnsiTheme="minorHAnsi"/>
        <w:b w:val="0"/>
        <w:i w:val="0"/>
        <w:sz w:val="21"/>
      </w:rPr>
    </w:lvl>
    <w:lvl w:ilvl="4" w:tentative="0">
      <w:start w:val="1"/>
      <w:numFmt w:val="decimal"/>
      <w:suff w:val="nothing"/>
      <w:lvlText w:val="%10.%2.%3.%4.%5 "/>
      <w:lvlJc w:val="left"/>
      <w:pPr>
        <w:ind w:left="0" w:firstLine="0"/>
      </w:pPr>
      <w:rPr>
        <w:rFonts w:hint="eastAsia" w:ascii="黑体" w:eastAsia="黑体" w:hAnsiTheme="minorHAnsi"/>
        <w:b w:val="0"/>
        <w:i w:val="0"/>
        <w:sz w:val="21"/>
      </w:rPr>
    </w:lvl>
    <w:lvl w:ilvl="5" w:tentative="0">
      <w:start w:val="1"/>
      <w:numFmt w:val="decimal"/>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
    <w:nsid w:val="0A505279"/>
    <w:multiLevelType w:val="multilevel"/>
    <w:tmpl w:val="0A505279"/>
    <w:lvl w:ilvl="0" w:tentative="0">
      <w:start w:val="6"/>
      <w:numFmt w:val="decimal"/>
      <w:lvlText w:val="%1"/>
      <w:lvlJc w:val="left"/>
      <w:pPr>
        <w:ind w:left="520" w:hanging="520"/>
      </w:pPr>
      <w:rPr>
        <w:rFonts w:hint="default"/>
      </w:rPr>
    </w:lvl>
    <w:lvl w:ilvl="1" w:tentative="0">
      <w:start w:val="2"/>
      <w:numFmt w:val="decimal"/>
      <w:lvlText w:val="%1.%2"/>
      <w:lvlJc w:val="left"/>
      <w:pPr>
        <w:ind w:left="520" w:hanging="52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1800" w:hanging="1800"/>
      </w:pPr>
      <w:rPr>
        <w:rFonts w:hint="default"/>
      </w:rPr>
    </w:lvl>
  </w:abstractNum>
  <w:abstractNum w:abstractNumId="2">
    <w:nsid w:val="0BDC1670"/>
    <w:multiLevelType w:val="multilevel"/>
    <w:tmpl w:val="0BDC1670"/>
    <w:lvl w:ilvl="0" w:tentative="0">
      <w:start w:val="1"/>
      <w:numFmt w:val="decimal"/>
      <w:lvlText w:val="[%1]"/>
      <w:lvlJc w:val="left"/>
      <w:pPr>
        <w:ind w:left="823" w:hanging="420"/>
      </w:pPr>
    </w:lvl>
    <w:lvl w:ilvl="1" w:tentative="0">
      <w:start w:val="1"/>
      <w:numFmt w:val="lowerLetter"/>
      <w:pStyle w:val="31"/>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2C5917C3"/>
    <w:multiLevelType w:val="multilevel"/>
    <w:tmpl w:val="2C5917C3"/>
    <w:lvl w:ilvl="0" w:tentative="0">
      <w:start w:val="1"/>
      <w:numFmt w:val="none"/>
      <w:pStyle w:val="21"/>
      <w:lvlText w:val="%1——"/>
      <w:lvlJc w:val="left"/>
      <w:pPr>
        <w:tabs>
          <w:tab w:val="left" w:pos="851"/>
        </w:tabs>
        <w:ind w:left="851" w:hanging="426"/>
      </w:pPr>
      <w:rPr>
        <w:rFonts w:hint="default" w:ascii="Times New Roman" w:hAnsi="Times New Roman" w:eastAsia="宋体" w:cs="Times New Roman"/>
        <w:b w:val="0"/>
        <w:i w:val="0"/>
        <w:sz w:val="21"/>
      </w:rPr>
    </w:lvl>
    <w:lvl w:ilvl="1" w:tentative="0">
      <w:start w:val="1"/>
      <w:numFmt w:val="none"/>
      <w:lvlText w:val=""/>
      <w:lvlJc w:val="left"/>
      <w:pPr>
        <w:ind w:left="851" w:hanging="431"/>
      </w:pPr>
      <w:rPr>
        <w:rFonts w:hint="default" w:ascii="Symbol" w:hAnsi="Symbol"/>
        <w:sz w:val="21"/>
      </w:rPr>
    </w:lvl>
    <w:lvl w:ilvl="2" w:tentative="0">
      <w:start w:val="1"/>
      <w:numFmt w:val="bullet"/>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4">
    <w:nsid w:val="48802D1C"/>
    <w:multiLevelType w:val="multilevel"/>
    <w:tmpl w:val="48802D1C"/>
    <w:lvl w:ilvl="0" w:tentative="0">
      <w:start w:val="1"/>
      <w:numFmt w:val="upperLetter"/>
      <w:pStyle w:val="27"/>
      <w:lvlText w:val="%1"/>
      <w:lvlJc w:val="left"/>
      <w:pPr>
        <w:ind w:left="420" w:hanging="420"/>
      </w:pPr>
      <w:rPr>
        <w:rFonts w:hint="eastAsia"/>
      </w:rPr>
    </w:lvl>
    <w:lvl w:ilvl="1" w:tentative="0">
      <w:start w:val="1"/>
      <w:numFmt w:val="decimal"/>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
    <w:nsid w:val="557C2AF5"/>
    <w:multiLevelType w:val="multilevel"/>
    <w:tmpl w:val="557C2AF5"/>
    <w:lvl w:ilvl="0" w:tentative="0">
      <w:start w:val="1"/>
      <w:numFmt w:val="decimal"/>
      <w:pStyle w:val="2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6">
    <w:nsid w:val="5603797C"/>
    <w:multiLevelType w:val="multilevel"/>
    <w:tmpl w:val="5603797C"/>
    <w:lvl w:ilvl="0" w:tentative="0">
      <w:start w:val="1"/>
      <w:numFmt w:val="upperLetter"/>
      <w:pStyle w:val="28"/>
      <w:suff w:val="space"/>
      <w:lvlText w:val="%1"/>
      <w:lvlJc w:val="left"/>
      <w:pPr>
        <w:ind w:left="425" w:hanging="425"/>
      </w:pPr>
      <w:rPr>
        <w:rFonts w:hint="eastAsia"/>
      </w:rPr>
    </w:lvl>
    <w:lvl w:ilvl="1" w:tentative="0">
      <w:start w:val="1"/>
      <w:numFmt w:val="decimal"/>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7">
    <w:nsid w:val="646260FA"/>
    <w:multiLevelType w:val="multilevel"/>
    <w:tmpl w:val="646260FA"/>
    <w:lvl w:ilvl="0" w:tentative="0">
      <w:start w:val="1"/>
      <w:numFmt w:val="decimal"/>
      <w:pStyle w:val="25"/>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8">
    <w:nsid w:val="657D3FBC"/>
    <w:multiLevelType w:val="multilevel"/>
    <w:tmpl w:val="657D3FBC"/>
    <w:lvl w:ilvl="0" w:tentative="0">
      <w:start w:val="1"/>
      <w:numFmt w:val="upperLetter"/>
      <w:pStyle w:val="29"/>
      <w:suff w:val="nothing"/>
      <w:lvlText w:val="附录%1"/>
      <w:lvlJc w:val="left"/>
      <w:pPr>
        <w:ind w:left="0" w:firstLine="0"/>
      </w:pPr>
      <w:rPr>
        <w:rFonts w:hint="eastAsia"/>
        <w:spacing w:val="100"/>
      </w:rPr>
    </w:lvl>
    <w:lvl w:ilvl="1" w:tentative="0">
      <w:start w:val="1"/>
      <w:numFmt w:val="decimal"/>
      <w:pStyle w:val="30"/>
      <w:suff w:val="nothing"/>
      <w:lvlText w:val="%1.%2　"/>
      <w:lvlJc w:val="left"/>
      <w:pPr>
        <w:ind w:left="0" w:firstLine="0"/>
      </w:pPr>
      <w:rPr>
        <w:rFonts w:hint="eastAsia" w:ascii="黑体" w:eastAsia="黑体"/>
        <w:b w:val="0"/>
        <w:i w:val="0"/>
        <w:sz w:val="21"/>
      </w:rPr>
    </w:lvl>
    <w:lvl w:ilvl="2" w:tentative="0">
      <w:start w:val="1"/>
      <w:numFmt w:val="decimal"/>
      <w:suff w:val="nothing"/>
      <w:lvlText w:val="%1.%2.%3　"/>
      <w:lvlJc w:val="left"/>
      <w:pPr>
        <w:ind w:left="0" w:firstLine="0"/>
      </w:pPr>
      <w:rPr>
        <w:rFonts w:hint="eastAsia" w:ascii="黑体" w:eastAsia="黑体"/>
        <w:b w:val="0"/>
        <w:i w:val="0"/>
        <w:sz w:val="21"/>
      </w:rPr>
    </w:lvl>
    <w:lvl w:ilvl="3" w:tentative="0">
      <w:start w:val="1"/>
      <w:numFmt w:val="decimal"/>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9">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16"/>
      <w:suff w:val="nothing"/>
      <w:lvlText w:val="%1%2　"/>
      <w:lvlJc w:val="left"/>
      <w:pPr>
        <w:ind w:left="0" w:firstLine="0"/>
      </w:pPr>
      <w:rPr>
        <w:rFonts w:hint="eastAsia" w:ascii="黑体" w:eastAsia="黑体"/>
        <w:b w:val="0"/>
        <w:i w:val="0"/>
        <w:sz w:val="21"/>
      </w:rPr>
    </w:lvl>
    <w:lvl w:ilvl="2" w:tentative="0">
      <w:start w:val="1"/>
      <w:numFmt w:val="decimal"/>
      <w:pStyle w:val="19"/>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22"/>
      <w:suff w:val="nothing"/>
      <w:lvlText w:val="%1%2.%3.%4　"/>
      <w:lvlJc w:val="left"/>
      <w:pPr>
        <w:ind w:left="284"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0"/>
  </w:num>
  <w:num w:numId="2">
    <w:abstractNumId w:val="9"/>
  </w:num>
  <w:num w:numId="3">
    <w:abstractNumId w:val="3"/>
  </w:num>
  <w:num w:numId="4">
    <w:abstractNumId w:val="5"/>
  </w:num>
  <w:num w:numId="5">
    <w:abstractNumId w:val="7"/>
  </w:num>
  <w:num w:numId="6">
    <w:abstractNumId w:val="4"/>
  </w:num>
  <w:num w:numId="7">
    <w:abstractNumId w:val="6"/>
  </w:num>
  <w:num w:numId="8">
    <w:abstractNumId w:val="8"/>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3F2EBB"/>
    <w:rsid w:val="253611A5"/>
    <w:rsid w:val="534F73A8"/>
    <w:rsid w:val="743F2EBB"/>
    <w:rsid w:val="764E32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adjustRightInd/>
      <w:snapToGrid w:val="0"/>
      <w:spacing w:line="240" w:lineRule="auto"/>
      <w:jc w:val="right"/>
    </w:pPr>
    <w:rPr>
      <w:rFonts w:ascii="宋体"/>
      <w:sz w:val="18"/>
      <w:szCs w:val="18"/>
    </w:rPr>
  </w:style>
  <w:style w:type="paragraph" w:styleId="3">
    <w:name w:val="header"/>
    <w:basedOn w:val="1"/>
    <w:qFormat/>
    <w:uiPriority w:val="99"/>
    <w:pPr>
      <w:tabs>
        <w:tab w:val="center" w:pos="4153"/>
        <w:tab w:val="right" w:pos="8306"/>
      </w:tabs>
      <w:adjustRightInd/>
      <w:snapToGrid w:val="0"/>
      <w:jc w:val="center"/>
    </w:pPr>
    <w:rPr>
      <w:sz w:val="18"/>
      <w:szCs w:val="18"/>
    </w:rPr>
  </w:style>
  <w:style w:type="paragraph" w:styleId="4">
    <w:name w:val="toc 1"/>
    <w:basedOn w:val="1"/>
    <w:next w:val="1"/>
    <w:unhideWhenUsed/>
    <w:qFormat/>
    <w:uiPriority w:val="39"/>
    <w:pPr>
      <w:tabs>
        <w:tab w:val="right" w:leader="dot" w:pos="9344"/>
      </w:tabs>
      <w:spacing w:line="240" w:lineRule="auto"/>
    </w:pPr>
    <w:rPr>
      <w:rFonts w:ascii="宋体"/>
    </w:rPr>
  </w:style>
  <w:style w:type="paragraph" w:styleId="5">
    <w:name w:val="toc 2"/>
    <w:basedOn w:val="1"/>
    <w:next w:val="1"/>
    <w:unhideWhenUsed/>
    <w:qFormat/>
    <w:uiPriority w:val="39"/>
    <w:pPr>
      <w:tabs>
        <w:tab w:val="right" w:leader="dot" w:pos="9344"/>
      </w:tabs>
      <w:spacing w:line="300" w:lineRule="exact"/>
      <w:ind w:left="210"/>
    </w:pPr>
    <w:rPr>
      <w:rFonts w:ascii="宋体"/>
    </w:rPr>
  </w:style>
  <w:style w:type="paragraph" w:styleId="6">
    <w:name w:val="Normal (Web)"/>
    <w:basedOn w:val="1"/>
    <w:unhideWhenUsed/>
    <w:qFormat/>
    <w:uiPriority w:val="99"/>
    <w:pPr>
      <w:widowControl/>
      <w:adjustRightInd/>
      <w:spacing w:before="100" w:beforeAutospacing="1" w:after="100" w:afterAutospacing="1" w:line="240" w:lineRule="auto"/>
      <w:jc w:val="left"/>
    </w:pPr>
    <w:rPr>
      <w:rFonts w:ascii="宋体" w:hAnsi="宋体" w:cs="宋体"/>
      <w:kern w:val="0"/>
      <w:sz w:val="24"/>
      <w:szCs w:val="24"/>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qFormat/>
    <w:uiPriority w:val="99"/>
    <w:rPr>
      <w:rFonts w:ascii="宋体" w:hAnsi="Times New Roman" w:eastAsia="宋体"/>
      <w:color w:val="auto"/>
      <w:spacing w:val="0"/>
      <w:w w:val="100"/>
      <w:position w:val="0"/>
      <w:sz w:val="21"/>
      <w:u w:val="none"/>
      <w:vertAlign w:val="baseline"/>
    </w:rPr>
  </w:style>
  <w:style w:type="paragraph" w:customStyle="1" w:styleId="11">
    <w:name w:val="封面标准英文名称"/>
    <w:qFormat/>
    <w:uiPriority w:val="0"/>
    <w:pPr>
      <w:widowControl w:val="0"/>
      <w:spacing w:line="360" w:lineRule="exact"/>
      <w:jc w:val="center"/>
    </w:pPr>
    <w:rPr>
      <w:rFonts w:ascii="Times New Roman" w:hAnsi="Times New Roman" w:eastAsia="宋体" w:cs="Times New Roman"/>
      <w:kern w:val="2"/>
      <w:sz w:val="28"/>
      <w:szCs w:val="24"/>
      <w:lang w:val="en-US" w:eastAsia="zh-CN" w:bidi="ar-SA"/>
    </w:rPr>
  </w:style>
  <w:style w:type="paragraph" w:customStyle="1" w:styleId="12">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13">
    <w:name w:val="标准文件_前言、引言标题"/>
    <w:next w:val="1"/>
    <w:qFormat/>
    <w:uiPriority w:val="0"/>
    <w:pPr>
      <w:numPr>
        <w:ilvl w:val="0"/>
        <w:numId w:val="1"/>
      </w:numPr>
      <w:shd w:val="clear" w:color="FFFFFF" w:fill="FFFFFF"/>
      <w:spacing w:before="480" w:after="150" w:afterLines="150"/>
      <w:jc w:val="center"/>
      <w:outlineLvl w:val="0"/>
    </w:pPr>
    <w:rPr>
      <w:rFonts w:ascii="黑体" w:hAnsi="Times New Roman" w:eastAsia="黑体" w:cs="Times New Roman"/>
      <w:kern w:val="2"/>
      <w:sz w:val="32"/>
      <w:szCs w:val="24"/>
      <w:lang w:val="en-US" w:eastAsia="zh-CN" w:bidi="ar-SA"/>
    </w:rPr>
  </w:style>
  <w:style w:type="paragraph" w:customStyle="1" w:styleId="14">
    <w:name w:val="标准文件_段"/>
    <w:uiPriority w:val="0"/>
    <w:pPr>
      <w:autoSpaceDE w:val="0"/>
      <w:autoSpaceDN w:val="0"/>
      <w:ind w:firstLine="200" w:firstLineChars="200"/>
      <w:jc w:val="both"/>
    </w:pPr>
    <w:rPr>
      <w:rFonts w:ascii="宋体" w:hAnsi="Times New Roman" w:eastAsia="宋体" w:cs="Times New Roman"/>
      <w:kern w:val="2"/>
      <w:sz w:val="21"/>
      <w:szCs w:val="24"/>
      <w:lang w:val="en-US" w:eastAsia="zh-CN" w:bidi="ar-SA"/>
    </w:rPr>
  </w:style>
  <w:style w:type="paragraph" w:customStyle="1" w:styleId="15">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6">
    <w:name w:val="标准文件_章标题"/>
    <w:next w:val="14"/>
    <w:qFormat/>
    <w:uiPriority w:val="0"/>
    <w:pPr>
      <w:numPr>
        <w:ilvl w:val="1"/>
        <w:numId w:val="2"/>
      </w:numPr>
      <w:spacing w:before="100" w:beforeLines="100" w:after="100" w:afterLines="100"/>
      <w:jc w:val="both"/>
      <w:outlineLvl w:val="0"/>
    </w:pPr>
    <w:rPr>
      <w:rFonts w:ascii="黑体" w:hAnsi="Times New Roman" w:eastAsia="黑体" w:cs="Times New Roman"/>
      <w:kern w:val="2"/>
      <w:sz w:val="21"/>
      <w:szCs w:val="24"/>
      <w:lang w:val="en-US" w:eastAsia="zh-CN" w:bidi="ar-SA"/>
    </w:rPr>
  </w:style>
  <w:style w:type="paragraph" w:customStyle="1" w:styleId="17">
    <w:name w:val="标准文件_术语条一"/>
    <w:basedOn w:val="18"/>
    <w:next w:val="14"/>
    <w:qFormat/>
    <w:uiPriority w:val="0"/>
  </w:style>
  <w:style w:type="paragraph" w:customStyle="1" w:styleId="18">
    <w:name w:val="标准文件_一级无标题"/>
    <w:basedOn w:val="19"/>
    <w:qFormat/>
    <w:uiPriority w:val="0"/>
    <w:pPr>
      <w:spacing w:before="0" w:beforeLines="0" w:after="0" w:afterLines="0"/>
      <w:outlineLvl w:val="9"/>
    </w:pPr>
    <w:rPr>
      <w:rFonts w:ascii="宋体" w:eastAsia="宋体"/>
    </w:rPr>
  </w:style>
  <w:style w:type="paragraph" w:customStyle="1" w:styleId="19">
    <w:name w:val="标准文件_一级条标题"/>
    <w:basedOn w:val="16"/>
    <w:next w:val="14"/>
    <w:qFormat/>
    <w:uiPriority w:val="0"/>
    <w:pPr>
      <w:numPr>
        <w:ilvl w:val="2"/>
      </w:numPr>
      <w:spacing w:before="50" w:beforeLines="50" w:after="50" w:afterLines="50"/>
      <w:outlineLvl w:val="1"/>
    </w:pPr>
  </w:style>
  <w:style w:type="paragraph" w:customStyle="1" w:styleId="20">
    <w:name w:val="p1"/>
    <w:basedOn w:val="1"/>
    <w:qFormat/>
    <w:uiPriority w:val="0"/>
    <w:pPr>
      <w:widowControl/>
      <w:adjustRightInd/>
      <w:spacing w:line="240" w:lineRule="auto"/>
      <w:jc w:val="left"/>
    </w:pPr>
    <w:rPr>
      <w:rFonts w:ascii="Helvetica" w:hAnsi="Helvetica" w:cs="宋体"/>
      <w:color w:val="000000"/>
      <w:kern w:val="0"/>
      <w:sz w:val="16"/>
      <w:szCs w:val="16"/>
    </w:rPr>
  </w:style>
  <w:style w:type="paragraph" w:customStyle="1" w:styleId="21">
    <w:name w:val="标准文件_一级项"/>
    <w:qFormat/>
    <w:uiPriority w:val="0"/>
    <w:pPr>
      <w:numPr>
        <w:ilvl w:val="0"/>
        <w:numId w:val="3"/>
      </w:numPr>
    </w:pPr>
    <w:rPr>
      <w:rFonts w:ascii="宋体" w:hAnsi="Times New Roman" w:eastAsia="宋体" w:cs="Times New Roman"/>
      <w:kern w:val="2"/>
      <w:sz w:val="21"/>
      <w:szCs w:val="24"/>
      <w:lang w:val="en-US" w:eastAsia="zh-CN" w:bidi="ar-SA"/>
    </w:rPr>
  </w:style>
  <w:style w:type="paragraph" w:customStyle="1" w:styleId="22">
    <w:name w:val="标准文件_二级条标题"/>
    <w:next w:val="14"/>
    <w:qFormat/>
    <w:uiPriority w:val="0"/>
    <w:pPr>
      <w:widowControl w:val="0"/>
      <w:numPr>
        <w:ilvl w:val="3"/>
        <w:numId w:val="2"/>
      </w:numPr>
      <w:spacing w:before="50" w:beforeLines="50" w:after="50" w:afterLines="50"/>
      <w:ind w:left="0"/>
      <w:jc w:val="both"/>
      <w:outlineLvl w:val="2"/>
    </w:pPr>
    <w:rPr>
      <w:rFonts w:ascii="黑体" w:hAnsi="Times New Roman" w:eastAsia="黑体" w:cs="Times New Roman"/>
      <w:kern w:val="2"/>
      <w:sz w:val="21"/>
      <w:szCs w:val="24"/>
      <w:lang w:val="en-US" w:eastAsia="zh-CN" w:bidi="ar-SA"/>
    </w:rPr>
  </w:style>
  <w:style w:type="paragraph" w:customStyle="1" w:styleId="23">
    <w:name w:val="标准文件_二级无标题"/>
    <w:basedOn w:val="22"/>
    <w:qFormat/>
    <w:uiPriority w:val="0"/>
    <w:pPr>
      <w:spacing w:before="0" w:beforeLines="0" w:after="0" w:afterLines="0"/>
      <w:outlineLvl w:val="9"/>
    </w:pPr>
    <w:rPr>
      <w:rFonts w:ascii="宋体" w:eastAsia="宋体"/>
    </w:rPr>
  </w:style>
  <w:style w:type="paragraph" w:customStyle="1" w:styleId="24">
    <w:name w:val="标准文件_正文图标题"/>
    <w:next w:val="14"/>
    <w:qFormat/>
    <w:uiPriority w:val="0"/>
    <w:pPr>
      <w:numPr>
        <w:ilvl w:val="0"/>
        <w:numId w:val="4"/>
      </w:numPr>
      <w:spacing w:before="50" w:beforeLines="50" w:after="50" w:afterLines="50"/>
      <w:jc w:val="center"/>
    </w:pPr>
    <w:rPr>
      <w:rFonts w:ascii="黑体" w:hAnsi="Times New Roman" w:eastAsia="黑体" w:cs="Times New Roman"/>
      <w:kern w:val="2"/>
      <w:sz w:val="21"/>
      <w:szCs w:val="24"/>
      <w:lang w:val="en-US" w:eastAsia="zh-CN" w:bidi="ar-SA"/>
    </w:rPr>
  </w:style>
  <w:style w:type="paragraph" w:customStyle="1" w:styleId="25">
    <w:name w:val="标准文件_正文表标题"/>
    <w:next w:val="14"/>
    <w:qFormat/>
    <w:uiPriority w:val="0"/>
    <w:pPr>
      <w:numPr>
        <w:ilvl w:val="0"/>
        <w:numId w:val="5"/>
      </w:numPr>
      <w:tabs>
        <w:tab w:val="left" w:pos="0"/>
      </w:tabs>
      <w:spacing w:before="50" w:beforeLines="50" w:after="50" w:afterLines="50"/>
      <w:jc w:val="center"/>
    </w:pPr>
    <w:rPr>
      <w:rFonts w:ascii="黑体" w:hAnsi="Times New Roman" w:eastAsia="黑体" w:cs="Times New Roman"/>
      <w:kern w:val="2"/>
      <w:sz w:val="21"/>
      <w:szCs w:val="24"/>
      <w:lang w:val="en-US" w:eastAsia="zh-CN" w:bidi="ar-SA"/>
    </w:rPr>
  </w:style>
  <w:style w:type="paragraph" w:customStyle="1" w:styleId="26">
    <w:name w:val="段"/>
    <w:qFormat/>
    <w:uiPriority w:val="0"/>
    <w:pPr>
      <w:tabs>
        <w:tab w:val="center" w:pos="4201"/>
        <w:tab w:val="right" w:leader="dot" w:pos="9298"/>
      </w:tabs>
      <w:autoSpaceDE w:val="0"/>
      <w:autoSpaceDN w:val="0"/>
      <w:ind w:firstLine="420" w:firstLineChars="200"/>
      <w:jc w:val="both"/>
    </w:pPr>
    <w:rPr>
      <w:rFonts w:ascii="宋体" w:hAnsi="Calibri" w:eastAsia="宋体" w:cs="Times New Roman"/>
      <w:kern w:val="2"/>
      <w:sz w:val="21"/>
      <w:szCs w:val="22"/>
      <w:lang w:val="en-US" w:eastAsia="zh-CN" w:bidi="ar-SA"/>
    </w:rPr>
  </w:style>
  <w:style w:type="paragraph" w:customStyle="1" w:styleId="27">
    <w:name w:val="标准文件_附录图标号"/>
    <w:basedOn w:val="14"/>
    <w:next w:val="14"/>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8">
    <w:name w:val="标准文件_附录表标号"/>
    <w:basedOn w:val="14"/>
    <w:next w:val="14"/>
    <w:qFormat/>
    <w:uiPriority w:val="0"/>
    <w:pPr>
      <w:numPr>
        <w:ilvl w:val="0"/>
        <w:numId w:val="7"/>
      </w:numPr>
      <w:spacing w:line="14" w:lineRule="exact"/>
      <w:ind w:firstLine="0" w:firstLineChars="0"/>
      <w:jc w:val="center"/>
    </w:pPr>
    <w:rPr>
      <w:rFonts w:eastAsia="黑体"/>
      <w:vanish/>
      <w:sz w:val="2"/>
    </w:rPr>
  </w:style>
  <w:style w:type="paragraph" w:customStyle="1" w:styleId="29">
    <w:name w:val="标准文件_附录标识"/>
    <w:next w:val="14"/>
    <w:qFormat/>
    <w:uiPriority w:val="0"/>
    <w:pPr>
      <w:numPr>
        <w:ilvl w:val="0"/>
        <w:numId w:val="8"/>
      </w:numPr>
      <w:shd w:val="clear" w:color="FFFFFF" w:fill="FFFFFF"/>
      <w:tabs>
        <w:tab w:val="left" w:pos="6406"/>
      </w:tabs>
      <w:spacing w:before="560" w:after="50" w:afterLines="50"/>
      <w:jc w:val="center"/>
      <w:outlineLvl w:val="0"/>
    </w:pPr>
    <w:rPr>
      <w:rFonts w:ascii="黑体" w:hAnsi="Times New Roman" w:eastAsia="黑体" w:cs="Times New Roman"/>
      <w:kern w:val="2"/>
      <w:sz w:val="21"/>
      <w:szCs w:val="24"/>
      <w:lang w:val="en-US" w:eastAsia="zh-CN" w:bidi="ar-SA"/>
    </w:rPr>
  </w:style>
  <w:style w:type="paragraph" w:customStyle="1" w:styleId="30">
    <w:name w:val="标准文件_附录一级条标题"/>
    <w:next w:val="14"/>
    <w:qFormat/>
    <w:uiPriority w:val="0"/>
    <w:pPr>
      <w:widowControl w:val="0"/>
      <w:numPr>
        <w:ilvl w:val="1"/>
        <w:numId w:val="8"/>
      </w:numPr>
      <w:spacing w:before="50" w:beforeLines="50" w:after="50" w:afterLines="50"/>
      <w:jc w:val="both"/>
      <w:outlineLvl w:val="2"/>
    </w:pPr>
    <w:rPr>
      <w:rFonts w:ascii="黑体" w:hAnsi="Times New Roman" w:eastAsia="黑体" w:cs="Times New Roman"/>
      <w:kern w:val="21"/>
      <w:sz w:val="21"/>
      <w:szCs w:val="24"/>
      <w:lang w:val="en-US" w:eastAsia="zh-CN" w:bidi="ar-SA"/>
    </w:rPr>
  </w:style>
  <w:style w:type="paragraph" w:customStyle="1" w:styleId="31">
    <w:name w:val="附录表标题"/>
    <w:basedOn w:val="1"/>
    <w:next w:val="1"/>
    <w:qFormat/>
    <w:uiPriority w:val="0"/>
    <w:pPr>
      <w:numPr>
        <w:ilvl w:val="1"/>
        <w:numId w:val="9"/>
      </w:numPr>
      <w:tabs>
        <w:tab w:val="left" w:pos="0"/>
        <w:tab w:val="left" w:pos="180"/>
      </w:tabs>
      <w:adjustRightInd/>
      <w:spacing w:beforeLines="50" w:afterLines="50" w:line="240" w:lineRule="auto"/>
      <w:jc w:val="center"/>
    </w:pPr>
    <w:rPr>
      <w:rFonts w:ascii="黑体" w:hAnsi="Times New Roman" w:eastAsia="黑体"/>
    </w:rPr>
  </w:style>
  <w:style w:type="paragraph" w:customStyle="1" w:styleId="32">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33">
    <w:name w:val="标准文件_页眉奇数页"/>
    <w:next w:val="1"/>
    <w:qFormat/>
    <w:uiPriority w:val="0"/>
    <w:pPr>
      <w:tabs>
        <w:tab w:val="center" w:pos="4154"/>
        <w:tab w:val="right" w:pos="8306"/>
      </w:tabs>
      <w:spacing w:after="120"/>
      <w:jc w:val="right"/>
    </w:pPr>
    <w:rPr>
      <w:rFonts w:ascii="黑体" w:hAnsi="宋体" w:eastAsia="黑体" w:cs="Times New Roman"/>
      <w:kern w:val="2"/>
      <w:sz w:val="21"/>
      <w:szCs w:val="24"/>
      <w:lang w:val="en-US" w:eastAsia="zh-CN" w:bidi="ar-SA"/>
    </w:rPr>
  </w:style>
  <w:style w:type="paragraph" w:customStyle="1" w:styleId="34">
    <w:name w:val="标准文件_页脚奇数页"/>
    <w:qFormat/>
    <w:uiPriority w:val="0"/>
    <w:pPr>
      <w:ind w:right="227"/>
      <w:jc w:val="right"/>
    </w:pPr>
    <w:rPr>
      <w:rFonts w:ascii="宋体" w:hAnsi="Times New Roman" w:eastAsia="宋体" w:cs="Times New Roman"/>
      <w:kern w:val="2"/>
      <w:sz w:val="18"/>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glossaryDocument" Target="glossary/document.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15300bb-21f4-4abb-9804-310ceaaa73fb}"/>
        <w:style w:val=""/>
        <w:category>
          <w:name w:val="常规"/>
          <w:gallery w:val="placeholder"/>
        </w:category>
        <w:types>
          <w:type w:val="bbPlcHdr"/>
        </w:types>
        <w:behaviors>
          <w:behavior w:val="content"/>
        </w:behaviors>
        <w:description w:val=""/>
        <w:guid w:val="{b15300bb-21f4-4abb-9804-310ceaaa73fb}"/>
      </w:docPartPr>
      <w:docPartBody>
        <w:p w14:paraId="2AB87EC6">
          <w:pPr>
            <w:pStyle w:val="2"/>
            <w:rPr>
              <w:rFonts w:hint="eastAsia"/>
            </w:rPr>
          </w:pPr>
          <w:r>
            <w:rPr>
              <w:rStyle w:val="3"/>
              <w:rFonts w:hint="eastAsia"/>
            </w:rPr>
            <w:t>单击或点击此处输入文字。</w:t>
          </w:r>
        </w:p>
      </w:docPartBody>
    </w:docPart>
    <w:docPart>
      <w:docPartPr>
        <w:name w:val="{0341af29-79ec-449d-b1a0-aef2cde5344d}"/>
        <w:style w:val=""/>
        <w:category>
          <w:name w:val="常规"/>
          <w:gallery w:val="placeholder"/>
        </w:category>
        <w:types>
          <w:type w:val="bbPlcHdr"/>
        </w:types>
        <w:behaviors>
          <w:behavior w:val="content"/>
        </w:behaviors>
        <w:description w:val=""/>
        <w:guid w:val="{0341af29-79ec-449d-b1a0-aef2cde5344d}"/>
      </w:docPartPr>
      <w:docPartBody>
        <w:p w14:paraId="4B8D462D">
          <w:pPr>
            <w:pStyle w:val="4"/>
            <w:rPr>
              <w:rFonts w:hint="eastAsia"/>
            </w:rPr>
          </w:pPr>
          <w:r>
            <w:rPr>
              <w:rStyle w:val="3"/>
              <w:rFonts w:hint="eastAsia"/>
            </w:rPr>
            <w:t>选择一项。</w:t>
          </w:r>
        </w:p>
      </w:docPartBody>
    </w:docPart>
    <w:docPart>
      <w:docPartPr>
        <w:name w:val="{c1b1d781-b62d-462c-a804-815009f4f1ec}"/>
        <w:style w:val=""/>
        <w:category>
          <w:name w:val="常规"/>
          <w:gallery w:val="placeholder"/>
        </w:category>
        <w:types>
          <w:type w:val="bbPlcHdr"/>
        </w:types>
        <w:behaviors>
          <w:behavior w:val="content"/>
        </w:behaviors>
        <w:description w:val=""/>
        <w:guid w:val="{c1b1d781-b62d-462c-a804-815009f4f1ec}"/>
      </w:docPartPr>
      <w:docPartBody>
        <w:p w14:paraId="30843212">
          <w:pPr>
            <w:pStyle w:val="5"/>
            <w:rPr>
              <w:rFonts w:hint="eastAsia"/>
            </w:rPr>
          </w:pPr>
          <w:r>
            <w:rPr>
              <w:rStyle w:val="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iPriority="1" w:name="Default Paragraph Font"/>
    <w:lsdException w:qFormat="1" w:unhideWhenUsed="0" w:uiPriority="99" w:name="Placeholder Text"/>
  </w:latentStyles>
  <w:style w:type="character" w:default="1" w:styleId="1">
    <w:name w:val="Default Paragraph Font"/>
    <w:semiHidden/>
    <w:unhideWhenUsed/>
    <w:uiPriority w:val="1"/>
  </w:style>
  <w:style w:type="paragraph" w:customStyle="1" w:styleId="2">
    <w:name w:val="11766B81157D42F89AD2103C4BA243F1"/>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styleId="3">
    <w:name w:val="Placeholder Text"/>
    <w:basedOn w:val="1"/>
    <w:semiHidden/>
    <w:qFormat/>
    <w:uiPriority w:val="99"/>
    <w:rPr>
      <w:color w:val="808080"/>
    </w:rPr>
  </w:style>
  <w:style w:type="paragraph" w:customStyle="1" w:styleId="4">
    <w:name w:val="29E1C5E34CF34B3683C87C6FFED3FA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
    <w:name w:val="C138B40F9C674AEA87F09752CCDFE691"/>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391</Words>
  <Characters>526</Characters>
  <Lines>0</Lines>
  <Paragraphs>0</Paragraphs>
  <TotalTime>2</TotalTime>
  <ScaleCrop>false</ScaleCrop>
  <LinksUpToDate>false</LinksUpToDate>
  <CharactersWithSpaces>663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2026-08-13T02:27:00Z</dcterms:created>
  <dc:creator>彭莹</dc:creator>
  <cp:lastModifiedBy>彭莹</cp:lastModifiedBy>
  <dcterms:modified xsi:type="dcterms:W3CDTF">2026-08-13T04:28:21Z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3D9CE6B820914E52B962ABB613338214_11</vt:lpwstr>
  </property>
  <property fmtid="{D5CDD505-2E9C-101B-9397-08002B2CF9AE}" pid="4" name="KSOTemplateDocerSaveRecord">
    <vt:lpwstr>eyJoZGlkIjoiNzM2MDg4ODc3YmExNmI5MDExYWJjODkzNTljODgxNDgiLCJ1c2VySWQiOiI0NTA3NTcxNTUifQ==</vt:lpwstr>
  </property>
</Properties>
</file>